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F221" w14:textId="631E03C6" w:rsidR="00616305" w:rsidRDefault="00461EBB">
      <w:pPr>
        <w:pStyle w:val="Heading1"/>
        <w:spacing w:before="79"/>
        <w:ind w:left="3573" w:right="1692" w:hanging="1825"/>
      </w:pPr>
      <w:r>
        <w:t>Form 5500 Schedule C Disclosure for Mutual Fund Series of DoubleLine Funds Trust</w:t>
      </w:r>
    </w:p>
    <w:p w14:paraId="355E5DA4" w14:textId="77777777" w:rsidR="00924BC6" w:rsidRDefault="00924BC6">
      <w:pPr>
        <w:pStyle w:val="BodyText"/>
        <w:ind w:left="160" w:right="116" w:firstLine="719"/>
        <w:jc w:val="both"/>
      </w:pPr>
    </w:p>
    <w:p w14:paraId="78F72BCF" w14:textId="77777777" w:rsidR="00924BC6" w:rsidRDefault="00924BC6">
      <w:pPr>
        <w:pStyle w:val="BodyText"/>
        <w:ind w:left="160" w:right="116" w:firstLine="719"/>
        <w:jc w:val="both"/>
      </w:pPr>
    </w:p>
    <w:p w14:paraId="7F1DD2EA" w14:textId="003B2B42" w:rsidR="00616305" w:rsidRDefault="00461EBB">
      <w:pPr>
        <w:pStyle w:val="BodyText"/>
        <w:ind w:left="160" w:right="116" w:firstLine="719"/>
        <w:jc w:val="both"/>
      </w:pPr>
      <w:r>
        <w:t>DoubleLine Capital LP and, with respect to DoubleLine Strategic Commodity Fund</w:t>
      </w:r>
      <w:r w:rsidR="009505DB">
        <w:t>, DoubleLine Multi-Asset Trend Fund</w:t>
      </w:r>
      <w:r>
        <w:t xml:space="preserve"> and DoubleLine Colony Real Estate and Income Fund, DoubleLine Alternatives LP (each an “Adviser”)</w:t>
      </w:r>
      <w:r>
        <w:rPr>
          <w:spacing w:val="-18"/>
        </w:rPr>
        <w:t xml:space="preserve"> </w:t>
      </w:r>
      <w:r>
        <w:t>provide</w:t>
      </w:r>
      <w:r>
        <w:rPr>
          <w:spacing w:val="-17"/>
        </w:rPr>
        <w:t xml:space="preserve"> </w:t>
      </w:r>
      <w:r>
        <w:t>this</w:t>
      </w:r>
      <w:r>
        <w:rPr>
          <w:spacing w:val="-16"/>
        </w:rPr>
        <w:t xml:space="preserve"> </w:t>
      </w:r>
      <w:r>
        <w:t>disclosure</w:t>
      </w:r>
      <w:r>
        <w:rPr>
          <w:spacing w:val="-17"/>
        </w:rPr>
        <w:t xml:space="preserve"> </w:t>
      </w:r>
      <w:r>
        <w:t>document</w:t>
      </w:r>
      <w:r>
        <w:rPr>
          <w:spacing w:val="-16"/>
        </w:rPr>
        <w:t xml:space="preserve"> </w:t>
      </w:r>
      <w:r>
        <w:t>to</w:t>
      </w:r>
      <w:r>
        <w:rPr>
          <w:spacing w:val="-15"/>
        </w:rPr>
        <w:t xml:space="preserve"> </w:t>
      </w:r>
      <w:r>
        <w:t>assist</w:t>
      </w:r>
      <w:r>
        <w:rPr>
          <w:spacing w:val="-15"/>
        </w:rPr>
        <w:t xml:space="preserve"> </w:t>
      </w:r>
      <w:r>
        <w:t>plan</w:t>
      </w:r>
      <w:r>
        <w:rPr>
          <w:spacing w:val="-16"/>
        </w:rPr>
        <w:t xml:space="preserve"> </w:t>
      </w:r>
      <w:r>
        <w:t>administrators</w:t>
      </w:r>
      <w:r>
        <w:rPr>
          <w:spacing w:val="-16"/>
        </w:rPr>
        <w:t xml:space="preserve"> </w:t>
      </w:r>
      <w:r>
        <w:t>in</w:t>
      </w:r>
      <w:r>
        <w:rPr>
          <w:spacing w:val="-15"/>
        </w:rPr>
        <w:t xml:space="preserve"> </w:t>
      </w:r>
      <w:r>
        <w:t>completing</w:t>
      </w:r>
      <w:r>
        <w:rPr>
          <w:spacing w:val="-16"/>
        </w:rPr>
        <w:t xml:space="preserve"> </w:t>
      </w:r>
      <w:r>
        <w:t>Form</w:t>
      </w:r>
      <w:r>
        <w:rPr>
          <w:spacing w:val="-16"/>
        </w:rPr>
        <w:t xml:space="preserve"> </w:t>
      </w:r>
      <w:r>
        <w:t>5500 Schedule C (Service Provider Information) for investments in series of DoubleLine Funds Trust, a Delaware statutory trust (each series, a “Fund” and all series collectively, the “Funds”). The document contains information regarding eligible indirect compensation received by the Adviser and others from the Funds.</w:t>
      </w:r>
    </w:p>
    <w:p w14:paraId="36316267" w14:textId="77777777" w:rsidR="00616305" w:rsidRDefault="00616305">
      <w:pPr>
        <w:pStyle w:val="BodyText"/>
      </w:pPr>
    </w:p>
    <w:p w14:paraId="1F98EBF3" w14:textId="77777777" w:rsidR="00616305" w:rsidRDefault="00461EBB">
      <w:pPr>
        <w:pStyle w:val="BodyText"/>
        <w:ind w:left="880"/>
        <w:jc w:val="both"/>
      </w:pPr>
      <w:r>
        <w:t>Eligible indirect compensation is defined as indirect compensation, including, for example:</w:t>
      </w:r>
    </w:p>
    <w:p w14:paraId="48A09DA5" w14:textId="77777777" w:rsidR="00616305" w:rsidRDefault="00461EBB">
      <w:pPr>
        <w:pStyle w:val="BodyText"/>
        <w:spacing w:before="1"/>
        <w:ind w:left="160" w:right="115"/>
        <w:jc w:val="both"/>
      </w:pPr>
      <w:r>
        <w:t>(</w:t>
      </w:r>
      <w:proofErr w:type="spellStart"/>
      <w:r>
        <w:t>i</w:t>
      </w:r>
      <w:proofErr w:type="spellEnd"/>
      <w:r>
        <w:t>)</w:t>
      </w:r>
      <w:r>
        <w:rPr>
          <w:spacing w:val="-13"/>
        </w:rPr>
        <w:t xml:space="preserve"> </w:t>
      </w:r>
      <w:r>
        <w:t>fees</w:t>
      </w:r>
      <w:r>
        <w:rPr>
          <w:spacing w:val="-11"/>
        </w:rPr>
        <w:t xml:space="preserve"> </w:t>
      </w:r>
      <w:r>
        <w:t>or</w:t>
      </w:r>
      <w:r>
        <w:rPr>
          <w:spacing w:val="-12"/>
        </w:rPr>
        <w:t xml:space="preserve"> </w:t>
      </w:r>
      <w:r>
        <w:t>expense</w:t>
      </w:r>
      <w:r>
        <w:rPr>
          <w:spacing w:val="-12"/>
        </w:rPr>
        <w:t xml:space="preserve"> </w:t>
      </w:r>
      <w:r>
        <w:t>reimbursement</w:t>
      </w:r>
      <w:r>
        <w:rPr>
          <w:spacing w:val="-11"/>
        </w:rPr>
        <w:t xml:space="preserve"> </w:t>
      </w:r>
      <w:r>
        <w:t>payments</w:t>
      </w:r>
      <w:r>
        <w:rPr>
          <w:spacing w:val="-11"/>
        </w:rPr>
        <w:t xml:space="preserve"> </w:t>
      </w:r>
      <w:r>
        <w:t>charged</w:t>
      </w:r>
      <w:r>
        <w:rPr>
          <w:spacing w:val="-11"/>
        </w:rPr>
        <w:t xml:space="preserve"> </w:t>
      </w:r>
      <w:r>
        <w:t>to</w:t>
      </w:r>
      <w:r>
        <w:rPr>
          <w:spacing w:val="-11"/>
        </w:rPr>
        <w:t xml:space="preserve"> </w:t>
      </w:r>
      <w:r>
        <w:t>investment</w:t>
      </w:r>
      <w:r>
        <w:rPr>
          <w:spacing w:val="-12"/>
        </w:rPr>
        <w:t xml:space="preserve"> </w:t>
      </w:r>
      <w:r>
        <w:t>funds</w:t>
      </w:r>
      <w:r>
        <w:rPr>
          <w:spacing w:val="-12"/>
        </w:rPr>
        <w:t xml:space="preserve"> </w:t>
      </w:r>
      <w:r>
        <w:t>and</w:t>
      </w:r>
      <w:r>
        <w:rPr>
          <w:spacing w:val="-11"/>
        </w:rPr>
        <w:t xml:space="preserve"> </w:t>
      </w:r>
      <w:r>
        <w:t>reflected</w:t>
      </w:r>
      <w:r>
        <w:rPr>
          <w:spacing w:val="-12"/>
        </w:rPr>
        <w:t xml:space="preserve"> </w:t>
      </w:r>
      <w:r>
        <w:t>in</w:t>
      </w:r>
      <w:r>
        <w:rPr>
          <w:spacing w:val="-11"/>
        </w:rPr>
        <w:t xml:space="preserve"> </w:t>
      </w:r>
      <w:r>
        <w:t>the</w:t>
      </w:r>
      <w:r>
        <w:rPr>
          <w:spacing w:val="-12"/>
        </w:rPr>
        <w:t xml:space="preserve"> </w:t>
      </w:r>
      <w:r>
        <w:t>value of the investment or return on investment of the participating plan or its participants (e.g., mutual fund</w:t>
      </w:r>
      <w:r>
        <w:rPr>
          <w:spacing w:val="-8"/>
        </w:rPr>
        <w:t xml:space="preserve"> </w:t>
      </w:r>
      <w:r>
        <w:t>expense</w:t>
      </w:r>
      <w:r>
        <w:rPr>
          <w:spacing w:val="-7"/>
        </w:rPr>
        <w:t xml:space="preserve"> </w:t>
      </w:r>
      <w:r>
        <w:t>ratios),</w:t>
      </w:r>
      <w:r>
        <w:rPr>
          <w:spacing w:val="-8"/>
        </w:rPr>
        <w:t xml:space="preserve"> </w:t>
      </w:r>
      <w:r>
        <w:t>(ii)</w:t>
      </w:r>
      <w:r>
        <w:rPr>
          <w:spacing w:val="-7"/>
        </w:rPr>
        <w:t xml:space="preserve"> </w:t>
      </w:r>
      <w:r>
        <w:t>“soft</w:t>
      </w:r>
      <w:r>
        <w:rPr>
          <w:spacing w:val="-7"/>
        </w:rPr>
        <w:t xml:space="preserve"> </w:t>
      </w:r>
      <w:r>
        <w:t>dollar”</w:t>
      </w:r>
      <w:r>
        <w:rPr>
          <w:spacing w:val="-8"/>
        </w:rPr>
        <w:t xml:space="preserve"> </w:t>
      </w:r>
      <w:r>
        <w:t>revenue,</w:t>
      </w:r>
      <w:r>
        <w:rPr>
          <w:spacing w:val="-6"/>
        </w:rPr>
        <w:t xml:space="preserve"> </w:t>
      </w:r>
      <w:r>
        <w:t>(iii)</w:t>
      </w:r>
      <w:r>
        <w:rPr>
          <w:spacing w:val="-7"/>
        </w:rPr>
        <w:t xml:space="preserve"> </w:t>
      </w:r>
      <w:r>
        <w:t>float</w:t>
      </w:r>
      <w:r>
        <w:rPr>
          <w:spacing w:val="-6"/>
        </w:rPr>
        <w:t xml:space="preserve"> </w:t>
      </w:r>
      <w:r>
        <w:t>revenue,</w:t>
      </w:r>
      <w:r>
        <w:rPr>
          <w:spacing w:val="-7"/>
        </w:rPr>
        <w:t xml:space="preserve"> </w:t>
      </w:r>
      <w:r>
        <w:t>and</w:t>
      </w:r>
      <w:r>
        <w:rPr>
          <w:spacing w:val="-6"/>
        </w:rPr>
        <w:t xml:space="preserve"> </w:t>
      </w:r>
      <w:r>
        <w:t>(iv)</w:t>
      </w:r>
      <w:r>
        <w:rPr>
          <w:spacing w:val="-8"/>
        </w:rPr>
        <w:t xml:space="preserve"> </w:t>
      </w:r>
      <w:r>
        <w:t>brokerage</w:t>
      </w:r>
      <w:r>
        <w:rPr>
          <w:spacing w:val="-7"/>
        </w:rPr>
        <w:t xml:space="preserve"> </w:t>
      </w:r>
      <w:r>
        <w:t xml:space="preserve">commissions or other transaction-based fees for transactions or services involving the </w:t>
      </w:r>
      <w:proofErr w:type="gramStart"/>
      <w:r>
        <w:t>plan</w:t>
      </w:r>
      <w:proofErr w:type="gramEnd"/>
      <w:r>
        <w:t xml:space="preserve"> that were not paid directly by the plan or plan sponsor. Form 5500 Schedule C provides a simplified “alternative reporting option” for eligible indirect compensation paid to a service provider if (</w:t>
      </w:r>
      <w:proofErr w:type="spellStart"/>
      <w:r>
        <w:t>i</w:t>
      </w:r>
      <w:proofErr w:type="spellEnd"/>
      <w:r>
        <w:t>) the only compensation paid to a service provider is eligible indirect compensation, and (ii) the plan administrator receives the “required written disclosure.” Required written disclosure consists of written materials that describe the existence of indirect compensation, the services provided for (or the purpose of) the indirect compensation, the actual or estimated amount of the indirect compensation or the formula used to calculate the amount and the identity of the party or parties paying and receiving the indirect compensation. This document provides information intended to comply with the foregoing disclosure requirements and to enable plan sponsors to take advantage of the alternative reporting</w:t>
      </w:r>
      <w:r>
        <w:rPr>
          <w:spacing w:val="-4"/>
        </w:rPr>
        <w:t xml:space="preserve"> </w:t>
      </w:r>
      <w:r>
        <w:t>option.</w:t>
      </w:r>
    </w:p>
    <w:p w14:paraId="54CCB103" w14:textId="77777777" w:rsidR="00616305" w:rsidRDefault="00616305">
      <w:pPr>
        <w:pStyle w:val="BodyText"/>
        <w:spacing w:before="1"/>
      </w:pPr>
    </w:p>
    <w:p w14:paraId="4BAF9369" w14:textId="77777777" w:rsidR="00616305" w:rsidRDefault="00461EBB">
      <w:pPr>
        <w:pStyle w:val="BodyText"/>
        <w:ind w:left="160" w:right="120" w:firstLine="719"/>
        <w:jc w:val="both"/>
      </w:pPr>
      <w:r>
        <w:t>The alternative reporting option requires plan sponsors to report the name and address of each service provider and the name and address of the person or entity providing the required written disclosures. Under the alternative reporting option, the plan sponsor is not required to report the information contained in the written disclosures. For these purposes, the identifying information of the Adviser is as follows:</w:t>
      </w:r>
    </w:p>
    <w:p w14:paraId="29B6FC63" w14:textId="77777777" w:rsidR="00616305" w:rsidRDefault="00616305">
      <w:pPr>
        <w:pStyle w:val="BodyText"/>
      </w:pPr>
    </w:p>
    <w:p w14:paraId="6BFD2240" w14:textId="77777777" w:rsidR="00616305" w:rsidRDefault="00461EBB">
      <w:pPr>
        <w:pStyle w:val="BodyText"/>
        <w:ind w:left="880"/>
        <w:jc w:val="both"/>
      </w:pPr>
      <w:r>
        <w:t>DoubleLine Capital LP</w:t>
      </w:r>
    </w:p>
    <w:p w14:paraId="6917EB9B" w14:textId="77777777" w:rsidR="00616305" w:rsidRDefault="00461EBB">
      <w:pPr>
        <w:pStyle w:val="BodyText"/>
        <w:ind w:left="880" w:right="5140"/>
      </w:pPr>
      <w:r>
        <w:t>333 South Grand Avenue, Suite 1800 Los Angeles, CA 90071</w:t>
      </w:r>
    </w:p>
    <w:p w14:paraId="55B68AF9" w14:textId="77777777" w:rsidR="00616305" w:rsidRDefault="00616305">
      <w:pPr>
        <w:pStyle w:val="BodyText"/>
        <w:spacing w:before="1"/>
      </w:pPr>
    </w:p>
    <w:p w14:paraId="56FE615A" w14:textId="77777777" w:rsidR="00616305" w:rsidRDefault="00461EBB">
      <w:pPr>
        <w:pStyle w:val="BodyText"/>
        <w:ind w:left="880"/>
      </w:pPr>
      <w:r>
        <w:t>DoubleLine Alternatives LP</w:t>
      </w:r>
    </w:p>
    <w:p w14:paraId="77E98CF0" w14:textId="77777777" w:rsidR="00616305" w:rsidRDefault="00461EBB">
      <w:pPr>
        <w:pStyle w:val="BodyText"/>
        <w:ind w:left="880" w:right="5140"/>
      </w:pPr>
      <w:r>
        <w:t>333 South Grand Avenue, Suite 1800 Los Angeles, CA 90071</w:t>
      </w:r>
    </w:p>
    <w:p w14:paraId="55D0CBD2" w14:textId="77777777" w:rsidR="00616305" w:rsidRDefault="00616305">
      <w:pPr>
        <w:sectPr w:rsidR="00616305">
          <w:headerReference w:type="even" r:id="rId7"/>
          <w:headerReference w:type="default" r:id="rId8"/>
          <w:footerReference w:type="even" r:id="rId9"/>
          <w:footerReference w:type="default" r:id="rId10"/>
          <w:headerReference w:type="first" r:id="rId11"/>
          <w:footerReference w:type="first" r:id="rId12"/>
          <w:type w:val="continuous"/>
          <w:pgSz w:w="12240" w:h="15840"/>
          <w:pgMar w:top="1360" w:right="1320" w:bottom="280" w:left="1280" w:header="720" w:footer="720" w:gutter="0"/>
          <w:cols w:space="720"/>
        </w:sectPr>
      </w:pPr>
    </w:p>
    <w:p w14:paraId="46282236" w14:textId="76EF2A91" w:rsidR="00616305" w:rsidRDefault="00461EBB">
      <w:pPr>
        <w:pStyle w:val="BodyText"/>
        <w:spacing w:before="81" w:line="237" w:lineRule="auto"/>
        <w:ind w:left="160" w:right="115" w:firstLine="719"/>
        <w:jc w:val="both"/>
      </w:pPr>
      <w:r>
        <w:lastRenderedPageBreak/>
        <w:t>This document refers to pages in the prospectus relating to Class A, Class I, Class C, Class N and Class R6 shares of the Funds (the “Prospectus”)</w:t>
      </w:r>
      <w:r>
        <w:rPr>
          <w:spacing w:val="-17"/>
        </w:rPr>
        <w:t xml:space="preserve"> and </w:t>
      </w:r>
      <w:r>
        <w:t>the</w:t>
      </w:r>
      <w:r>
        <w:rPr>
          <w:spacing w:val="-16"/>
        </w:rPr>
        <w:t xml:space="preserve"> </w:t>
      </w:r>
      <w:r>
        <w:t>statement of</w:t>
      </w:r>
      <w:r>
        <w:rPr>
          <w:spacing w:val="-9"/>
        </w:rPr>
        <w:t xml:space="preserve"> </w:t>
      </w:r>
      <w:r>
        <w:t>additional</w:t>
      </w:r>
      <w:r>
        <w:rPr>
          <w:spacing w:val="-9"/>
        </w:rPr>
        <w:t xml:space="preserve"> </w:t>
      </w:r>
      <w:r>
        <w:t>information</w:t>
      </w:r>
      <w:r>
        <w:rPr>
          <w:spacing w:val="-5"/>
        </w:rPr>
        <w:t xml:space="preserve"> </w:t>
      </w:r>
      <w:r>
        <w:t>of</w:t>
      </w:r>
      <w:r>
        <w:rPr>
          <w:spacing w:val="-9"/>
        </w:rPr>
        <w:t xml:space="preserve"> </w:t>
      </w:r>
      <w:r>
        <w:t>Class</w:t>
      </w:r>
      <w:r>
        <w:rPr>
          <w:spacing w:val="-8"/>
        </w:rPr>
        <w:t xml:space="preserve"> </w:t>
      </w:r>
      <w:r>
        <w:t>A,</w:t>
      </w:r>
      <w:r>
        <w:rPr>
          <w:spacing w:val="-9"/>
        </w:rPr>
        <w:t xml:space="preserve"> </w:t>
      </w:r>
      <w:r>
        <w:t>Class</w:t>
      </w:r>
      <w:r>
        <w:rPr>
          <w:spacing w:val="-5"/>
        </w:rPr>
        <w:t xml:space="preserve"> </w:t>
      </w:r>
      <w:r>
        <w:t>I,</w:t>
      </w:r>
      <w:r>
        <w:rPr>
          <w:spacing w:val="-7"/>
        </w:rPr>
        <w:t xml:space="preserve"> </w:t>
      </w:r>
      <w:r>
        <w:t>Class</w:t>
      </w:r>
      <w:r>
        <w:rPr>
          <w:spacing w:val="-8"/>
        </w:rPr>
        <w:t xml:space="preserve"> </w:t>
      </w:r>
      <w:r>
        <w:t>C,</w:t>
      </w:r>
      <w:r>
        <w:rPr>
          <w:spacing w:val="-8"/>
        </w:rPr>
        <w:t xml:space="preserve"> </w:t>
      </w:r>
      <w:r>
        <w:t>Class</w:t>
      </w:r>
      <w:r>
        <w:rPr>
          <w:spacing w:val="-9"/>
        </w:rPr>
        <w:t xml:space="preserve"> </w:t>
      </w:r>
      <w:r>
        <w:t>N and Class R6</w:t>
      </w:r>
      <w:r>
        <w:rPr>
          <w:spacing w:val="-9"/>
        </w:rPr>
        <w:t xml:space="preserve"> </w:t>
      </w:r>
      <w:r>
        <w:t>shares</w:t>
      </w:r>
      <w:r>
        <w:rPr>
          <w:spacing w:val="-8"/>
        </w:rPr>
        <w:t xml:space="preserve"> </w:t>
      </w:r>
      <w:r>
        <w:t>of</w:t>
      </w:r>
      <w:r>
        <w:rPr>
          <w:spacing w:val="-9"/>
        </w:rPr>
        <w:t xml:space="preserve"> </w:t>
      </w:r>
      <w:r>
        <w:t>the</w:t>
      </w:r>
      <w:r>
        <w:rPr>
          <w:spacing w:val="-9"/>
        </w:rPr>
        <w:t xml:space="preserve"> </w:t>
      </w:r>
      <w:r>
        <w:t>Funds</w:t>
      </w:r>
      <w:r>
        <w:rPr>
          <w:spacing w:val="-6"/>
        </w:rPr>
        <w:t xml:space="preserve"> </w:t>
      </w:r>
      <w:r>
        <w:t>(the</w:t>
      </w:r>
      <w:r>
        <w:rPr>
          <w:spacing w:val="-6"/>
        </w:rPr>
        <w:t xml:space="preserve"> </w:t>
      </w:r>
      <w:r>
        <w:t>“SAI”) and to parts of the Funds’ combined annual report to shareholders, each of which contains relevant information. These materials can be accessed</w:t>
      </w:r>
      <w:r>
        <w:rPr>
          <w:spacing w:val="-12"/>
        </w:rPr>
        <w:t xml:space="preserve"> </w:t>
      </w:r>
      <w:r>
        <w:t>at:</w:t>
      </w:r>
    </w:p>
    <w:p w14:paraId="0CB5532D" w14:textId="77777777" w:rsidR="00616305" w:rsidRDefault="00616305">
      <w:pPr>
        <w:pStyle w:val="BodyText"/>
        <w:spacing w:before="1"/>
        <w:rPr>
          <w:sz w:val="21"/>
        </w:rPr>
      </w:pPr>
    </w:p>
    <w:p w14:paraId="2344ABDB" w14:textId="77777777" w:rsidR="00616305" w:rsidRDefault="00EF0242">
      <w:pPr>
        <w:pStyle w:val="BodyText"/>
        <w:spacing w:line="448" w:lineRule="auto"/>
        <w:ind w:left="880" w:right="4693"/>
      </w:pPr>
      <w:hyperlink r:id="rId13">
        <w:r w:rsidR="00461EBB">
          <w:t>https://doublelinefunds.com/prospectuses/</w:t>
        </w:r>
      </w:hyperlink>
      <w:r w:rsidR="00461EBB">
        <w:t xml:space="preserve"> </w:t>
      </w:r>
      <w:hyperlink r:id="rId14">
        <w:r w:rsidR="00461EBB">
          <w:t>https://doublelinefunds.com/documents/</w:t>
        </w:r>
      </w:hyperlink>
    </w:p>
    <w:p w14:paraId="1C81C77A" w14:textId="77777777" w:rsidR="00616305" w:rsidRDefault="00461EBB">
      <w:pPr>
        <w:pStyle w:val="BodyText"/>
        <w:ind w:left="880"/>
      </w:pPr>
      <w:r>
        <w:t>Click on the document title to view the document as a PDF.</w:t>
      </w:r>
    </w:p>
    <w:p w14:paraId="39CE61C5" w14:textId="77777777" w:rsidR="00616305" w:rsidRDefault="00616305">
      <w:pPr>
        <w:pStyle w:val="BodyText"/>
        <w:spacing w:before="10"/>
        <w:rPr>
          <w:sz w:val="20"/>
        </w:rPr>
      </w:pPr>
    </w:p>
    <w:p w14:paraId="3D89A339" w14:textId="77777777" w:rsidR="00616305" w:rsidRDefault="00461EBB">
      <w:pPr>
        <w:pStyle w:val="Heading1"/>
      </w:pPr>
      <w:r>
        <w:t>Identifying Information</w:t>
      </w:r>
    </w:p>
    <w:p w14:paraId="6447A7AF" w14:textId="77777777" w:rsidR="00616305" w:rsidRDefault="00616305">
      <w:pPr>
        <w:pStyle w:val="BodyText"/>
        <w:spacing w:before="10"/>
        <w:rPr>
          <w:b/>
          <w:sz w:val="20"/>
        </w:rPr>
      </w:pPr>
    </w:p>
    <w:p w14:paraId="2BF8C695" w14:textId="77777777" w:rsidR="00616305" w:rsidRDefault="00461EBB">
      <w:pPr>
        <w:pStyle w:val="BodyText"/>
        <w:ind w:left="160" w:right="276" w:firstLine="719"/>
      </w:pPr>
      <w:r>
        <w:t>The following table directs you to the general location of each Fund’s specified items of identifying information:</w:t>
      </w:r>
    </w:p>
    <w:p w14:paraId="01E70C16" w14:textId="77777777" w:rsidR="00616305" w:rsidRDefault="00616305">
      <w:pPr>
        <w:pStyle w:val="BodyText"/>
        <w:rPr>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674"/>
      </w:tblGrid>
      <w:tr w:rsidR="00616305" w14:paraId="5FC03375" w14:textId="77777777">
        <w:trPr>
          <w:trHeight w:val="350"/>
        </w:trPr>
        <w:tc>
          <w:tcPr>
            <w:tcW w:w="4678" w:type="dxa"/>
          </w:tcPr>
          <w:p w14:paraId="17C7662F" w14:textId="77777777" w:rsidR="00616305" w:rsidRDefault="00461EBB">
            <w:pPr>
              <w:pStyle w:val="TableParagraph"/>
              <w:spacing w:line="275" w:lineRule="exact"/>
              <w:ind w:left="42"/>
              <w:rPr>
                <w:b/>
                <w:sz w:val="24"/>
              </w:rPr>
            </w:pPr>
            <w:r>
              <w:rPr>
                <w:b/>
                <w:sz w:val="24"/>
                <w:u w:val="thick"/>
              </w:rPr>
              <w:t>Information</w:t>
            </w:r>
          </w:p>
        </w:tc>
        <w:tc>
          <w:tcPr>
            <w:tcW w:w="4674" w:type="dxa"/>
          </w:tcPr>
          <w:p w14:paraId="57A7E9C6" w14:textId="77777777" w:rsidR="00616305" w:rsidRDefault="00461EBB">
            <w:pPr>
              <w:pStyle w:val="TableParagraph"/>
              <w:spacing w:line="275" w:lineRule="exact"/>
              <w:ind w:left="40"/>
              <w:rPr>
                <w:b/>
                <w:sz w:val="24"/>
              </w:rPr>
            </w:pPr>
            <w:r>
              <w:rPr>
                <w:b/>
                <w:sz w:val="24"/>
                <w:u w:val="thick"/>
              </w:rPr>
              <w:t>Location</w:t>
            </w:r>
          </w:p>
        </w:tc>
      </w:tr>
      <w:tr w:rsidR="00616305" w14:paraId="514B510B" w14:textId="77777777">
        <w:trPr>
          <w:trHeight w:val="551"/>
        </w:trPr>
        <w:tc>
          <w:tcPr>
            <w:tcW w:w="4678" w:type="dxa"/>
          </w:tcPr>
          <w:p w14:paraId="6B830A3C" w14:textId="77777777" w:rsidR="00616305" w:rsidRDefault="00461EBB">
            <w:pPr>
              <w:pStyle w:val="TableParagraph"/>
              <w:spacing w:line="275" w:lineRule="exact"/>
              <w:ind w:left="42"/>
              <w:rPr>
                <w:sz w:val="24"/>
              </w:rPr>
            </w:pPr>
            <w:r>
              <w:rPr>
                <w:sz w:val="24"/>
              </w:rPr>
              <w:t>Fund Name</w:t>
            </w:r>
          </w:p>
        </w:tc>
        <w:tc>
          <w:tcPr>
            <w:tcW w:w="4674" w:type="dxa"/>
          </w:tcPr>
          <w:p w14:paraId="1D2C8DDE" w14:textId="5040F2FD" w:rsidR="00616305" w:rsidRDefault="00461EBB" w:rsidP="00461EBB">
            <w:pPr>
              <w:pStyle w:val="TableParagraph"/>
              <w:spacing w:before="2" w:line="276" w:lineRule="exact"/>
              <w:ind w:left="40"/>
              <w:rPr>
                <w:sz w:val="24"/>
              </w:rPr>
            </w:pPr>
            <w:r>
              <w:rPr>
                <w:sz w:val="24"/>
              </w:rPr>
              <w:t>Please refer to the cover page of the Prospectus.</w:t>
            </w:r>
          </w:p>
        </w:tc>
      </w:tr>
      <w:tr w:rsidR="00616305" w14:paraId="2563A79B" w14:textId="77777777">
        <w:trPr>
          <w:trHeight w:val="549"/>
        </w:trPr>
        <w:tc>
          <w:tcPr>
            <w:tcW w:w="4678" w:type="dxa"/>
          </w:tcPr>
          <w:p w14:paraId="5170F334" w14:textId="77777777" w:rsidR="00616305" w:rsidRDefault="00461EBB">
            <w:pPr>
              <w:pStyle w:val="TableParagraph"/>
              <w:spacing w:line="273" w:lineRule="exact"/>
              <w:ind w:left="42"/>
              <w:rPr>
                <w:sz w:val="24"/>
              </w:rPr>
            </w:pPr>
            <w:r>
              <w:rPr>
                <w:sz w:val="24"/>
              </w:rPr>
              <w:t>Share Class</w:t>
            </w:r>
          </w:p>
        </w:tc>
        <w:tc>
          <w:tcPr>
            <w:tcW w:w="4674" w:type="dxa"/>
          </w:tcPr>
          <w:p w14:paraId="752EF46B" w14:textId="66B6A68E" w:rsidR="00616305" w:rsidRDefault="00461EBB" w:rsidP="00461EBB">
            <w:pPr>
              <w:pStyle w:val="TableParagraph"/>
              <w:spacing w:line="276" w:lineRule="exact"/>
              <w:ind w:left="40"/>
              <w:rPr>
                <w:sz w:val="24"/>
              </w:rPr>
            </w:pPr>
            <w:r>
              <w:rPr>
                <w:sz w:val="24"/>
              </w:rPr>
              <w:t>Please refer to the cover page of the Prospectus.</w:t>
            </w:r>
          </w:p>
        </w:tc>
      </w:tr>
      <w:tr w:rsidR="00616305" w14:paraId="57F8366B" w14:textId="77777777">
        <w:trPr>
          <w:trHeight w:val="549"/>
        </w:trPr>
        <w:tc>
          <w:tcPr>
            <w:tcW w:w="4678" w:type="dxa"/>
          </w:tcPr>
          <w:p w14:paraId="7B21AD29" w14:textId="77777777" w:rsidR="00616305" w:rsidRDefault="00461EBB">
            <w:pPr>
              <w:pStyle w:val="TableParagraph"/>
              <w:spacing w:line="272" w:lineRule="exact"/>
              <w:ind w:left="42"/>
              <w:rPr>
                <w:sz w:val="24"/>
              </w:rPr>
            </w:pPr>
            <w:r>
              <w:rPr>
                <w:sz w:val="24"/>
              </w:rPr>
              <w:t>Ticker Symbol</w:t>
            </w:r>
          </w:p>
        </w:tc>
        <w:tc>
          <w:tcPr>
            <w:tcW w:w="4674" w:type="dxa"/>
          </w:tcPr>
          <w:p w14:paraId="66C96A19" w14:textId="081E8CE3" w:rsidR="00616305" w:rsidRDefault="00461EBB" w:rsidP="00461EBB">
            <w:pPr>
              <w:pStyle w:val="TableParagraph"/>
              <w:spacing w:line="272" w:lineRule="exact"/>
              <w:ind w:left="40"/>
              <w:rPr>
                <w:sz w:val="24"/>
              </w:rPr>
            </w:pPr>
            <w:r>
              <w:rPr>
                <w:sz w:val="24"/>
              </w:rPr>
              <w:t>Please refer to the cover page of the Prospectus.</w:t>
            </w:r>
          </w:p>
        </w:tc>
      </w:tr>
      <w:tr w:rsidR="00616305" w14:paraId="5DF91CA0" w14:textId="77777777">
        <w:trPr>
          <w:trHeight w:val="275"/>
        </w:trPr>
        <w:tc>
          <w:tcPr>
            <w:tcW w:w="4678" w:type="dxa"/>
          </w:tcPr>
          <w:p w14:paraId="684C91F1" w14:textId="77777777" w:rsidR="00616305" w:rsidRDefault="00461EBB">
            <w:pPr>
              <w:pStyle w:val="TableParagraph"/>
              <w:ind w:left="42"/>
              <w:rPr>
                <w:sz w:val="24"/>
              </w:rPr>
            </w:pPr>
            <w:r>
              <w:rPr>
                <w:sz w:val="24"/>
              </w:rPr>
              <w:t>CUSIP</w:t>
            </w:r>
          </w:p>
        </w:tc>
        <w:tc>
          <w:tcPr>
            <w:tcW w:w="4674" w:type="dxa"/>
          </w:tcPr>
          <w:p w14:paraId="5C87BA0B" w14:textId="77777777" w:rsidR="00616305" w:rsidRDefault="00461EBB">
            <w:pPr>
              <w:pStyle w:val="TableParagraph"/>
              <w:ind w:left="40"/>
              <w:rPr>
                <w:sz w:val="24"/>
              </w:rPr>
            </w:pPr>
            <w:r>
              <w:rPr>
                <w:sz w:val="24"/>
              </w:rPr>
              <w:t>Please See Appendix A.</w:t>
            </w:r>
          </w:p>
        </w:tc>
      </w:tr>
      <w:tr w:rsidR="00616305" w14:paraId="5848E1FA" w14:textId="77777777">
        <w:trPr>
          <w:trHeight w:val="277"/>
        </w:trPr>
        <w:tc>
          <w:tcPr>
            <w:tcW w:w="4678" w:type="dxa"/>
          </w:tcPr>
          <w:p w14:paraId="38CBFDCB" w14:textId="77777777" w:rsidR="00616305" w:rsidRDefault="00461EBB">
            <w:pPr>
              <w:pStyle w:val="TableParagraph"/>
              <w:spacing w:before="1" w:line="257" w:lineRule="exact"/>
              <w:ind w:left="42"/>
              <w:rPr>
                <w:sz w:val="24"/>
              </w:rPr>
            </w:pPr>
            <w:r>
              <w:rPr>
                <w:sz w:val="24"/>
              </w:rPr>
              <w:t>Date of the Fund’s Fiscal Year-End</w:t>
            </w:r>
          </w:p>
        </w:tc>
        <w:tc>
          <w:tcPr>
            <w:tcW w:w="4674" w:type="dxa"/>
          </w:tcPr>
          <w:p w14:paraId="04D41C28" w14:textId="77777777" w:rsidR="00616305" w:rsidRDefault="00461EBB">
            <w:pPr>
              <w:pStyle w:val="TableParagraph"/>
              <w:spacing w:before="1" w:line="257" w:lineRule="exact"/>
              <w:ind w:left="40"/>
              <w:rPr>
                <w:sz w:val="24"/>
              </w:rPr>
            </w:pPr>
            <w:r>
              <w:rPr>
                <w:sz w:val="24"/>
              </w:rPr>
              <w:t>March 31</w:t>
            </w:r>
          </w:p>
        </w:tc>
      </w:tr>
      <w:tr w:rsidR="00616305" w14:paraId="55B6B2B4" w14:textId="77777777">
        <w:trPr>
          <w:trHeight w:val="1103"/>
        </w:trPr>
        <w:tc>
          <w:tcPr>
            <w:tcW w:w="4678" w:type="dxa"/>
          </w:tcPr>
          <w:p w14:paraId="7F121D8A" w14:textId="77777777" w:rsidR="00616305" w:rsidRDefault="00461EBB">
            <w:pPr>
              <w:pStyle w:val="TableParagraph"/>
              <w:spacing w:line="275" w:lineRule="exact"/>
              <w:ind w:left="42"/>
              <w:rPr>
                <w:sz w:val="24"/>
              </w:rPr>
            </w:pPr>
            <w:r>
              <w:rPr>
                <w:sz w:val="24"/>
              </w:rPr>
              <w:t>Fund Assets as of Fiscal Year-End</w:t>
            </w:r>
          </w:p>
        </w:tc>
        <w:tc>
          <w:tcPr>
            <w:tcW w:w="4674" w:type="dxa"/>
          </w:tcPr>
          <w:p w14:paraId="750442A5" w14:textId="77777777" w:rsidR="00616305" w:rsidRDefault="00461EBB">
            <w:pPr>
              <w:pStyle w:val="TableParagraph"/>
              <w:spacing w:line="275" w:lineRule="exact"/>
              <w:ind w:left="40"/>
              <w:rPr>
                <w:sz w:val="24"/>
              </w:rPr>
            </w:pPr>
            <w:r>
              <w:rPr>
                <w:sz w:val="24"/>
              </w:rPr>
              <w:t>Please refer to “Net assets, end of period” in</w:t>
            </w:r>
          </w:p>
          <w:p w14:paraId="3F7DBC89" w14:textId="170FA507" w:rsidR="00616305" w:rsidRDefault="00461EBB" w:rsidP="00461EBB">
            <w:pPr>
              <w:pStyle w:val="TableParagraph"/>
              <w:spacing w:line="270" w:lineRule="atLeast"/>
              <w:ind w:left="40" w:right="218"/>
              <w:rPr>
                <w:sz w:val="24"/>
              </w:rPr>
            </w:pPr>
            <w:r>
              <w:rPr>
                <w:sz w:val="24"/>
              </w:rPr>
              <w:t>the Fund’s table in the “Financial Highlights” section of the Prospectus or annual report to shareholders.</w:t>
            </w:r>
          </w:p>
        </w:tc>
      </w:tr>
      <w:tr w:rsidR="00616305" w14:paraId="0239CD70" w14:textId="77777777">
        <w:trPr>
          <w:trHeight w:val="827"/>
        </w:trPr>
        <w:tc>
          <w:tcPr>
            <w:tcW w:w="4678" w:type="dxa"/>
          </w:tcPr>
          <w:p w14:paraId="5CF2828C" w14:textId="77777777" w:rsidR="00616305" w:rsidRDefault="00461EBB">
            <w:pPr>
              <w:pStyle w:val="TableParagraph"/>
              <w:spacing w:line="275" w:lineRule="exact"/>
              <w:ind w:left="42"/>
              <w:rPr>
                <w:sz w:val="24"/>
              </w:rPr>
            </w:pPr>
            <w:r>
              <w:rPr>
                <w:sz w:val="24"/>
              </w:rPr>
              <w:t>Expense Ratio (Exclusive of Fee Waivers)</w:t>
            </w:r>
          </w:p>
        </w:tc>
        <w:tc>
          <w:tcPr>
            <w:tcW w:w="4674" w:type="dxa"/>
          </w:tcPr>
          <w:p w14:paraId="5E8728EC" w14:textId="4E3AB8BC" w:rsidR="00616305" w:rsidRDefault="00461EBB" w:rsidP="00461EBB">
            <w:pPr>
              <w:pStyle w:val="TableParagraph"/>
              <w:spacing w:before="2" w:line="276" w:lineRule="exact"/>
              <w:ind w:left="40" w:right="538"/>
              <w:rPr>
                <w:sz w:val="24"/>
              </w:rPr>
            </w:pPr>
            <w:r>
              <w:rPr>
                <w:sz w:val="24"/>
              </w:rPr>
              <w:t>Please refer to the Annual Fund Operating Expense table of the Prospectus.</w:t>
            </w:r>
          </w:p>
        </w:tc>
      </w:tr>
      <w:tr w:rsidR="00616305" w14:paraId="2B47DE10" w14:textId="77777777">
        <w:trPr>
          <w:trHeight w:val="273"/>
        </w:trPr>
        <w:tc>
          <w:tcPr>
            <w:tcW w:w="4678" w:type="dxa"/>
          </w:tcPr>
          <w:p w14:paraId="7E8B0425" w14:textId="77777777" w:rsidR="00616305" w:rsidRDefault="00461EBB">
            <w:pPr>
              <w:pStyle w:val="TableParagraph"/>
              <w:spacing w:line="253" w:lineRule="exact"/>
              <w:ind w:left="42"/>
              <w:rPr>
                <w:sz w:val="24"/>
              </w:rPr>
            </w:pPr>
            <w:r>
              <w:rPr>
                <w:sz w:val="24"/>
              </w:rPr>
              <w:t>Fund EIN</w:t>
            </w:r>
          </w:p>
        </w:tc>
        <w:tc>
          <w:tcPr>
            <w:tcW w:w="4674" w:type="dxa"/>
          </w:tcPr>
          <w:p w14:paraId="362B0411" w14:textId="77777777" w:rsidR="00616305" w:rsidRDefault="00461EBB">
            <w:pPr>
              <w:pStyle w:val="TableParagraph"/>
              <w:spacing w:line="253" w:lineRule="exact"/>
              <w:ind w:left="40"/>
              <w:rPr>
                <w:sz w:val="24"/>
              </w:rPr>
            </w:pPr>
            <w:r>
              <w:rPr>
                <w:sz w:val="24"/>
              </w:rPr>
              <w:t>A Fund’s EIN is available upon request.</w:t>
            </w:r>
          </w:p>
        </w:tc>
      </w:tr>
    </w:tbl>
    <w:p w14:paraId="7F1ED623" w14:textId="77777777" w:rsidR="00616305" w:rsidRDefault="00616305">
      <w:pPr>
        <w:pStyle w:val="BodyText"/>
        <w:rPr>
          <w:sz w:val="26"/>
        </w:rPr>
      </w:pPr>
    </w:p>
    <w:p w14:paraId="5D0A041C" w14:textId="77777777" w:rsidR="00616305" w:rsidRDefault="00461EBB">
      <w:pPr>
        <w:pStyle w:val="BodyText"/>
        <w:tabs>
          <w:tab w:val="left" w:pos="762"/>
          <w:tab w:val="left" w:pos="1482"/>
        </w:tabs>
        <w:spacing w:before="216"/>
        <w:ind w:left="42"/>
        <w:jc w:val="center"/>
      </w:pPr>
      <w:r>
        <w:t>*</w:t>
      </w:r>
      <w:r>
        <w:tab/>
        <w:t>*</w:t>
      </w:r>
      <w:r>
        <w:tab/>
        <w:t>*</w:t>
      </w:r>
    </w:p>
    <w:p w14:paraId="644C88B3" w14:textId="77777777" w:rsidR="00616305" w:rsidRDefault="00616305">
      <w:pPr>
        <w:pStyle w:val="BodyText"/>
        <w:spacing w:before="10"/>
        <w:rPr>
          <w:sz w:val="20"/>
        </w:rPr>
      </w:pPr>
    </w:p>
    <w:p w14:paraId="672535C2" w14:textId="77777777" w:rsidR="00616305" w:rsidRDefault="00461EBB">
      <w:pPr>
        <w:pStyle w:val="Heading1"/>
        <w:tabs>
          <w:tab w:val="left" w:pos="1600"/>
        </w:tabs>
        <w:spacing w:before="1"/>
      </w:pPr>
      <w:r>
        <w:t>Part</w:t>
      </w:r>
      <w:r>
        <w:rPr>
          <w:spacing w:val="-1"/>
        </w:rPr>
        <w:t xml:space="preserve"> </w:t>
      </w:r>
      <w:r>
        <w:t>1.</w:t>
      </w:r>
      <w:r>
        <w:tab/>
        <w:t>Compensation Earned by the Adviser and its</w:t>
      </w:r>
      <w:r>
        <w:rPr>
          <w:spacing w:val="-5"/>
        </w:rPr>
        <w:t xml:space="preserve"> </w:t>
      </w:r>
      <w:r>
        <w:t>Affiliates</w:t>
      </w:r>
    </w:p>
    <w:p w14:paraId="7990FCED" w14:textId="6BAB0A86" w:rsidR="00616305" w:rsidRDefault="00616305">
      <w:pPr>
        <w:pStyle w:val="BodyText"/>
        <w:rPr>
          <w:b/>
          <w:sz w:val="20"/>
        </w:rPr>
      </w:pPr>
    </w:p>
    <w:p w14:paraId="1BBFB144" w14:textId="77777777" w:rsidR="00924BC6" w:rsidRDefault="00924BC6">
      <w:pPr>
        <w:pStyle w:val="BodyText"/>
        <w:rPr>
          <w:b/>
          <w:sz w:val="20"/>
        </w:rPr>
      </w:pPr>
    </w:p>
    <w:p w14:paraId="671EDFC3" w14:textId="77777777" w:rsidR="00924BC6" w:rsidRDefault="00924BC6">
      <w:pPr>
        <w:pStyle w:val="BodyText"/>
        <w:rPr>
          <w:b/>
          <w:sz w:val="20"/>
        </w:rPr>
      </w:pPr>
    </w:p>
    <w:p w14:paraId="6EBAAF2D" w14:textId="77777777" w:rsidR="00616305" w:rsidRDefault="00461EBB">
      <w:pPr>
        <w:pStyle w:val="BodyText"/>
        <w:spacing w:before="79"/>
        <w:ind w:left="160"/>
      </w:pPr>
      <w:r>
        <w:rPr>
          <w:u w:val="single"/>
        </w:rPr>
        <w:t>Fund Advisory Fees</w:t>
      </w:r>
    </w:p>
    <w:p w14:paraId="0ADF4A10" w14:textId="77777777" w:rsidR="00616305" w:rsidRDefault="00616305">
      <w:pPr>
        <w:pStyle w:val="BodyText"/>
        <w:spacing w:before="10"/>
        <w:rPr>
          <w:sz w:val="20"/>
        </w:rPr>
      </w:pPr>
    </w:p>
    <w:p w14:paraId="3328ECE7" w14:textId="77777777" w:rsidR="00616305" w:rsidRDefault="00461EBB">
      <w:pPr>
        <w:pStyle w:val="BodyText"/>
        <w:ind w:left="160" w:right="116" w:firstLine="719"/>
      </w:pPr>
      <w:r>
        <w:t>The following tables direct you to the general location of information about advisory fees paid by each Fund, including amounts previously waived by the Adviser that may be recaptured by the Adviser at a future date:</w:t>
      </w:r>
    </w:p>
    <w:p w14:paraId="44153063" w14:textId="77777777" w:rsidR="00616305" w:rsidRDefault="00616305">
      <w:pPr>
        <w:pStyle w:val="BodyText"/>
        <w:rPr>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3"/>
        <w:gridCol w:w="4678"/>
      </w:tblGrid>
      <w:tr w:rsidR="00616305" w14:paraId="6782B543" w14:textId="77777777">
        <w:trPr>
          <w:trHeight w:val="275"/>
        </w:trPr>
        <w:tc>
          <w:tcPr>
            <w:tcW w:w="4673" w:type="dxa"/>
          </w:tcPr>
          <w:p w14:paraId="7BEE10F7" w14:textId="77777777" w:rsidR="00616305" w:rsidRDefault="00461EBB">
            <w:pPr>
              <w:pStyle w:val="TableParagraph"/>
              <w:ind w:left="1688" w:right="1681"/>
              <w:jc w:val="center"/>
              <w:rPr>
                <w:b/>
                <w:sz w:val="24"/>
              </w:rPr>
            </w:pPr>
            <w:r>
              <w:rPr>
                <w:b/>
                <w:sz w:val="24"/>
              </w:rPr>
              <w:lastRenderedPageBreak/>
              <w:t>Information</w:t>
            </w:r>
          </w:p>
        </w:tc>
        <w:tc>
          <w:tcPr>
            <w:tcW w:w="4678" w:type="dxa"/>
          </w:tcPr>
          <w:p w14:paraId="770DCD1C" w14:textId="77777777" w:rsidR="00616305" w:rsidRDefault="00461EBB">
            <w:pPr>
              <w:pStyle w:val="TableParagraph"/>
              <w:ind w:left="1864" w:right="1857"/>
              <w:jc w:val="center"/>
              <w:rPr>
                <w:b/>
                <w:sz w:val="24"/>
              </w:rPr>
            </w:pPr>
            <w:r>
              <w:rPr>
                <w:b/>
                <w:sz w:val="24"/>
              </w:rPr>
              <w:t>Location</w:t>
            </w:r>
          </w:p>
        </w:tc>
      </w:tr>
      <w:tr w:rsidR="00616305" w14:paraId="3ACD1BEA" w14:textId="77777777">
        <w:trPr>
          <w:trHeight w:val="3036"/>
        </w:trPr>
        <w:tc>
          <w:tcPr>
            <w:tcW w:w="4673" w:type="dxa"/>
          </w:tcPr>
          <w:p w14:paraId="1C70C28E" w14:textId="77777777" w:rsidR="00616305" w:rsidRDefault="00461EBB">
            <w:pPr>
              <w:pStyle w:val="TableParagraph"/>
              <w:spacing w:line="240" w:lineRule="auto"/>
              <w:ind w:left="42" w:right="415"/>
              <w:rPr>
                <w:sz w:val="24"/>
              </w:rPr>
            </w:pPr>
            <w:r>
              <w:rPr>
                <w:sz w:val="24"/>
              </w:rPr>
              <w:t>Investment Adviser to Whom Fees are Paid (Name and Address)</w:t>
            </w:r>
          </w:p>
        </w:tc>
        <w:tc>
          <w:tcPr>
            <w:tcW w:w="4678" w:type="dxa"/>
          </w:tcPr>
          <w:p w14:paraId="2CE474B0" w14:textId="196DC5D3" w:rsidR="00616305" w:rsidRDefault="00461EBB">
            <w:pPr>
              <w:pStyle w:val="TableParagraph"/>
              <w:spacing w:line="240" w:lineRule="auto"/>
              <w:rPr>
                <w:sz w:val="24"/>
              </w:rPr>
            </w:pPr>
            <w:r>
              <w:rPr>
                <w:sz w:val="24"/>
              </w:rPr>
              <w:t>Please refer to the “Management of the Funds – Investment Advisers” section of the Prospectus for name and address information.</w:t>
            </w:r>
          </w:p>
          <w:p w14:paraId="535D5921" w14:textId="77777777" w:rsidR="00616305" w:rsidRDefault="00616305">
            <w:pPr>
              <w:pStyle w:val="TableParagraph"/>
              <w:spacing w:before="10" w:line="240" w:lineRule="auto"/>
              <w:ind w:left="0"/>
              <w:rPr>
                <w:sz w:val="23"/>
              </w:rPr>
            </w:pPr>
          </w:p>
          <w:p w14:paraId="5DCA73E6" w14:textId="5E419E03" w:rsidR="00616305" w:rsidRDefault="00461EBB" w:rsidP="00924BC6">
            <w:pPr>
              <w:pStyle w:val="TableParagraph"/>
              <w:spacing w:line="240" w:lineRule="auto"/>
              <w:rPr>
                <w:sz w:val="24"/>
              </w:rPr>
            </w:pPr>
            <w:r>
              <w:rPr>
                <w:sz w:val="24"/>
              </w:rPr>
              <w:t>Please also refer to the “Statement of Operations” section of the applicable Fund in the annual report to shareholders or the “Investment Advisory Agreements” section of the SAI for fees paid.</w:t>
            </w:r>
          </w:p>
        </w:tc>
      </w:tr>
      <w:tr w:rsidR="00616305" w14:paraId="297F571B" w14:textId="77777777">
        <w:trPr>
          <w:trHeight w:val="1931"/>
        </w:trPr>
        <w:tc>
          <w:tcPr>
            <w:tcW w:w="4673" w:type="dxa"/>
          </w:tcPr>
          <w:p w14:paraId="69B4C648" w14:textId="77777777" w:rsidR="00616305" w:rsidRDefault="00461EBB">
            <w:pPr>
              <w:pStyle w:val="TableParagraph"/>
              <w:spacing w:line="275" w:lineRule="exact"/>
              <w:ind w:left="42"/>
              <w:rPr>
                <w:sz w:val="24"/>
              </w:rPr>
            </w:pPr>
            <w:r>
              <w:rPr>
                <w:sz w:val="24"/>
              </w:rPr>
              <w:t>Investment Adviser Fees (Net of Waivers)</w:t>
            </w:r>
          </w:p>
        </w:tc>
        <w:tc>
          <w:tcPr>
            <w:tcW w:w="4678" w:type="dxa"/>
          </w:tcPr>
          <w:p w14:paraId="5727B609" w14:textId="3FBFABE1" w:rsidR="00616305" w:rsidRDefault="00461EBB" w:rsidP="006900DD">
            <w:pPr>
              <w:pStyle w:val="TableParagraph"/>
              <w:spacing w:before="2" w:line="276" w:lineRule="exact"/>
              <w:ind w:right="273"/>
              <w:rPr>
                <w:sz w:val="24"/>
              </w:rPr>
            </w:pPr>
            <w:r>
              <w:rPr>
                <w:sz w:val="24"/>
              </w:rPr>
              <w:t>Please refer to the “Statement of Operations” section of the applicable Fund in the annual report to shareholders or the “Investment Advisory Agreements” section of the SAI.</w:t>
            </w:r>
          </w:p>
        </w:tc>
      </w:tr>
      <w:tr w:rsidR="00616305" w14:paraId="4EF4C15E" w14:textId="77777777">
        <w:trPr>
          <w:trHeight w:val="1101"/>
        </w:trPr>
        <w:tc>
          <w:tcPr>
            <w:tcW w:w="4673" w:type="dxa"/>
          </w:tcPr>
          <w:p w14:paraId="153D6680" w14:textId="77777777" w:rsidR="00616305" w:rsidRDefault="00461EBB">
            <w:pPr>
              <w:pStyle w:val="TableParagraph"/>
              <w:spacing w:line="273" w:lineRule="exact"/>
              <w:ind w:left="42"/>
              <w:rPr>
                <w:sz w:val="24"/>
              </w:rPr>
            </w:pPr>
            <w:r>
              <w:rPr>
                <w:sz w:val="24"/>
              </w:rPr>
              <w:t>Services Provided in Exchange for Fee</w:t>
            </w:r>
          </w:p>
        </w:tc>
        <w:tc>
          <w:tcPr>
            <w:tcW w:w="4678" w:type="dxa"/>
          </w:tcPr>
          <w:p w14:paraId="6F91FF1C" w14:textId="095B436A" w:rsidR="00616305" w:rsidRDefault="00461EBB" w:rsidP="006900DD">
            <w:pPr>
              <w:pStyle w:val="TableParagraph"/>
              <w:spacing w:line="276" w:lineRule="exact"/>
              <w:ind w:right="85"/>
              <w:rPr>
                <w:sz w:val="24"/>
              </w:rPr>
            </w:pPr>
            <w:r>
              <w:rPr>
                <w:sz w:val="24"/>
              </w:rPr>
              <w:t>Please refer to the “Investment Advisory Agreements” section of the SAI.</w:t>
            </w:r>
          </w:p>
        </w:tc>
      </w:tr>
      <w:tr w:rsidR="00616305" w14:paraId="1530C057" w14:textId="77777777">
        <w:trPr>
          <w:trHeight w:val="551"/>
        </w:trPr>
        <w:tc>
          <w:tcPr>
            <w:tcW w:w="4673" w:type="dxa"/>
          </w:tcPr>
          <w:p w14:paraId="1EAB1814" w14:textId="77777777" w:rsidR="00616305" w:rsidRDefault="00461EBB">
            <w:pPr>
              <w:pStyle w:val="TableParagraph"/>
              <w:spacing w:line="275" w:lineRule="exact"/>
              <w:ind w:left="42"/>
              <w:rPr>
                <w:sz w:val="24"/>
              </w:rPr>
            </w:pPr>
            <w:r>
              <w:rPr>
                <w:sz w:val="24"/>
              </w:rPr>
              <w:t>Suggested Department of Labor Service Codes</w:t>
            </w:r>
          </w:p>
        </w:tc>
        <w:tc>
          <w:tcPr>
            <w:tcW w:w="4678" w:type="dxa"/>
          </w:tcPr>
          <w:p w14:paraId="24C78472" w14:textId="77777777" w:rsidR="00616305" w:rsidRDefault="00461EBB">
            <w:pPr>
              <w:pStyle w:val="TableParagraph"/>
              <w:spacing w:before="2" w:line="276" w:lineRule="exact"/>
              <w:ind w:right="199"/>
              <w:rPr>
                <w:sz w:val="24"/>
              </w:rPr>
            </w:pPr>
            <w:r>
              <w:rPr>
                <w:sz w:val="24"/>
              </w:rPr>
              <w:t>28 (Investment Management), 52 (Investment Management Fees Paid Indirectly by Plan)</w:t>
            </w:r>
          </w:p>
        </w:tc>
      </w:tr>
    </w:tbl>
    <w:p w14:paraId="0A4F828E" w14:textId="77777777" w:rsidR="00616305" w:rsidRDefault="00616305">
      <w:pPr>
        <w:pStyle w:val="BodyText"/>
        <w:rPr>
          <w:sz w:val="26"/>
        </w:rPr>
      </w:pPr>
    </w:p>
    <w:p w14:paraId="275036DD" w14:textId="77777777" w:rsidR="00616305" w:rsidRDefault="00616305">
      <w:pPr>
        <w:pStyle w:val="BodyText"/>
        <w:rPr>
          <w:sz w:val="26"/>
        </w:rPr>
      </w:pPr>
    </w:p>
    <w:p w14:paraId="4B557561" w14:textId="77777777" w:rsidR="00616305" w:rsidRDefault="00461EBB">
      <w:pPr>
        <w:pStyle w:val="BodyText"/>
        <w:spacing w:before="193"/>
        <w:ind w:left="160"/>
      </w:pPr>
      <w:r>
        <w:rPr>
          <w:spacing w:val="-60"/>
          <w:u w:val="single"/>
        </w:rPr>
        <w:t xml:space="preserve"> </w:t>
      </w:r>
      <w:r>
        <w:rPr>
          <w:u w:val="single"/>
        </w:rPr>
        <w:t>Research and Other Services / “Soft Dollar” Arrangements</w:t>
      </w:r>
    </w:p>
    <w:p w14:paraId="2884F3D0" w14:textId="77777777" w:rsidR="00616305" w:rsidRDefault="00616305">
      <w:pPr>
        <w:pStyle w:val="BodyText"/>
        <w:spacing w:before="10"/>
        <w:rPr>
          <w:sz w:val="20"/>
        </w:rPr>
      </w:pPr>
    </w:p>
    <w:p w14:paraId="140B1A93" w14:textId="179B4B01" w:rsidR="00616305" w:rsidRDefault="00461EBB" w:rsidP="00924BC6">
      <w:pPr>
        <w:pStyle w:val="BodyText"/>
        <w:ind w:left="160" w:right="119" w:firstLine="719"/>
        <w:jc w:val="both"/>
      </w:pPr>
      <w:r>
        <w:t>As permitted by Section 28(e) of the Securities Exchange Act of 1934, as amended (the “Exchange Act”), each Adviser may, on behalf of a client, pay a broker or dealer, including those acting in the capacity of a futures commission merchant, that provides “brokerage and research services” (as defined in the Exchange Act) to the Adviser an amount of commission for effecting a portfolio investment transaction in excess of the amount of commission that another broker or dealer would have charged for effecting that transaction, if the Adviser determines in good faith that such amount of commission was reasonable in relation to the value of the brokerage and research services provided by such broker or dealer, viewed in terms of either that particular transaction or the Adviser’s overall responsibilities to the client and to other client accounts over which the Adviser exercises investment discretion. Such research services include proprietary research created internally by a broker or by a third-party provider (and made available to an</w:t>
      </w:r>
      <w:r w:rsidR="00924BC6">
        <w:t xml:space="preserve"> </w:t>
      </w:r>
      <w:r>
        <w:t>Adviser</w:t>
      </w:r>
      <w:r>
        <w:rPr>
          <w:spacing w:val="-9"/>
        </w:rPr>
        <w:t xml:space="preserve"> </w:t>
      </w:r>
      <w:r>
        <w:t>by</w:t>
      </w:r>
      <w:r>
        <w:rPr>
          <w:spacing w:val="-9"/>
        </w:rPr>
        <w:t xml:space="preserve"> </w:t>
      </w:r>
      <w:r>
        <w:t>a</w:t>
      </w:r>
      <w:r>
        <w:rPr>
          <w:spacing w:val="-10"/>
        </w:rPr>
        <w:t xml:space="preserve"> </w:t>
      </w:r>
      <w:r>
        <w:t>broker)</w:t>
      </w:r>
      <w:r>
        <w:rPr>
          <w:spacing w:val="-8"/>
        </w:rPr>
        <w:t xml:space="preserve"> </w:t>
      </w:r>
      <w:r>
        <w:t>such</w:t>
      </w:r>
      <w:r>
        <w:rPr>
          <w:spacing w:val="-9"/>
        </w:rPr>
        <w:t xml:space="preserve"> </w:t>
      </w:r>
      <w:r>
        <w:t>as,</w:t>
      </w:r>
      <w:r>
        <w:rPr>
          <w:spacing w:val="-8"/>
        </w:rPr>
        <w:t xml:space="preserve"> </w:t>
      </w:r>
      <w:r>
        <w:t>for</w:t>
      </w:r>
      <w:r>
        <w:rPr>
          <w:spacing w:val="-7"/>
        </w:rPr>
        <w:t xml:space="preserve"> </w:t>
      </w:r>
      <w:r>
        <w:t>example,</w:t>
      </w:r>
      <w:r>
        <w:rPr>
          <w:spacing w:val="-9"/>
        </w:rPr>
        <w:t xml:space="preserve"> </w:t>
      </w:r>
      <w:r>
        <w:t>individual</w:t>
      </w:r>
      <w:r>
        <w:rPr>
          <w:spacing w:val="-9"/>
        </w:rPr>
        <w:t xml:space="preserve"> </w:t>
      </w:r>
      <w:r>
        <w:t>stock</w:t>
      </w:r>
      <w:r>
        <w:rPr>
          <w:spacing w:val="-9"/>
        </w:rPr>
        <w:t xml:space="preserve"> </w:t>
      </w:r>
      <w:r>
        <w:t>information</w:t>
      </w:r>
      <w:r>
        <w:rPr>
          <w:spacing w:val="-7"/>
        </w:rPr>
        <w:t xml:space="preserve"> </w:t>
      </w:r>
      <w:r>
        <w:t>and</w:t>
      </w:r>
      <w:r>
        <w:rPr>
          <w:spacing w:val="-7"/>
        </w:rPr>
        <w:t xml:space="preserve"> </w:t>
      </w:r>
      <w:r>
        <w:t>research,</w:t>
      </w:r>
      <w:r>
        <w:rPr>
          <w:spacing w:val="-9"/>
        </w:rPr>
        <w:t xml:space="preserve"> </w:t>
      </w:r>
      <w:r>
        <w:t>industry</w:t>
      </w:r>
      <w:r>
        <w:rPr>
          <w:spacing w:val="-5"/>
        </w:rPr>
        <w:t xml:space="preserve"> </w:t>
      </w:r>
      <w:r>
        <w:t>and sector analysis, trend analysis and forecasting, discussions with individual stock analysts, and meetings arranged with various sources of information regarding particular issuers, industries, governmental policies, specific information about local markets and applicable regulations, economic</w:t>
      </w:r>
      <w:r>
        <w:rPr>
          <w:spacing w:val="-6"/>
        </w:rPr>
        <w:t xml:space="preserve"> </w:t>
      </w:r>
      <w:r>
        <w:t>trends,</w:t>
      </w:r>
      <w:r>
        <w:rPr>
          <w:spacing w:val="-2"/>
        </w:rPr>
        <w:t xml:space="preserve"> </w:t>
      </w:r>
      <w:r>
        <w:t>and</w:t>
      </w:r>
      <w:r>
        <w:rPr>
          <w:spacing w:val="-4"/>
        </w:rPr>
        <w:t xml:space="preserve"> </w:t>
      </w:r>
      <w:r>
        <w:t>other</w:t>
      </w:r>
      <w:r>
        <w:rPr>
          <w:spacing w:val="-6"/>
        </w:rPr>
        <w:t xml:space="preserve"> </w:t>
      </w:r>
      <w:r>
        <w:t>matters.</w:t>
      </w:r>
      <w:r>
        <w:rPr>
          <w:spacing w:val="-2"/>
        </w:rPr>
        <w:t xml:space="preserve"> </w:t>
      </w:r>
      <w:r>
        <w:t>In</w:t>
      </w:r>
      <w:r>
        <w:rPr>
          <w:spacing w:val="-5"/>
        </w:rPr>
        <w:t xml:space="preserve"> </w:t>
      </w:r>
      <w:r>
        <w:t>addition,</w:t>
      </w:r>
      <w:r>
        <w:rPr>
          <w:spacing w:val="-4"/>
        </w:rPr>
        <w:t xml:space="preserve"> </w:t>
      </w:r>
      <w:r>
        <w:t>a</w:t>
      </w:r>
      <w:r>
        <w:rPr>
          <w:spacing w:val="-2"/>
        </w:rPr>
        <w:t xml:space="preserve"> </w:t>
      </w:r>
      <w:r>
        <w:t>broker</w:t>
      </w:r>
      <w:r>
        <w:rPr>
          <w:spacing w:val="-6"/>
        </w:rPr>
        <w:t xml:space="preserve"> </w:t>
      </w:r>
      <w:r>
        <w:t>may</w:t>
      </w:r>
      <w:r>
        <w:rPr>
          <w:spacing w:val="-1"/>
        </w:rPr>
        <w:t xml:space="preserve"> </w:t>
      </w:r>
      <w:r>
        <w:t>accumulate</w:t>
      </w:r>
      <w:r>
        <w:rPr>
          <w:spacing w:val="-5"/>
        </w:rPr>
        <w:t xml:space="preserve"> </w:t>
      </w:r>
      <w:r>
        <w:t>credits</w:t>
      </w:r>
      <w:r>
        <w:rPr>
          <w:spacing w:val="-4"/>
        </w:rPr>
        <w:t xml:space="preserve"> </w:t>
      </w:r>
      <w:r>
        <w:t>for</w:t>
      </w:r>
      <w:r>
        <w:rPr>
          <w:spacing w:val="-6"/>
        </w:rPr>
        <w:t xml:space="preserve"> </w:t>
      </w:r>
      <w:r>
        <w:t>an</w:t>
      </w:r>
      <w:r>
        <w:rPr>
          <w:spacing w:val="-3"/>
        </w:rPr>
        <w:t xml:space="preserve"> </w:t>
      </w:r>
      <w:r>
        <w:t xml:space="preserve">Adviser’s account and use them to purchase brokerage and research services at the Adviser’s discretion and </w:t>
      </w:r>
      <w:r>
        <w:lastRenderedPageBreak/>
        <w:t>based on the Adviser’s determination of the relative benefits of the various services available for purchase. These arrangements are commonly known as “commission sharing arrangements.” Accordingly,</w:t>
      </w:r>
      <w:r>
        <w:rPr>
          <w:spacing w:val="-17"/>
        </w:rPr>
        <w:t xml:space="preserve"> </w:t>
      </w:r>
      <w:r>
        <w:t>an</w:t>
      </w:r>
      <w:r>
        <w:rPr>
          <w:spacing w:val="-16"/>
        </w:rPr>
        <w:t xml:space="preserve"> </w:t>
      </w:r>
      <w:r>
        <w:t>Adviser’s</w:t>
      </w:r>
      <w:r>
        <w:rPr>
          <w:spacing w:val="-17"/>
        </w:rPr>
        <w:t xml:space="preserve"> </w:t>
      </w:r>
      <w:r>
        <w:t>clients</w:t>
      </w:r>
      <w:r>
        <w:rPr>
          <w:spacing w:val="-15"/>
        </w:rPr>
        <w:t xml:space="preserve"> </w:t>
      </w:r>
      <w:r>
        <w:t>may</w:t>
      </w:r>
      <w:r>
        <w:rPr>
          <w:spacing w:val="-16"/>
        </w:rPr>
        <w:t xml:space="preserve"> </w:t>
      </w:r>
      <w:r>
        <w:t>be</w:t>
      </w:r>
      <w:r>
        <w:rPr>
          <w:spacing w:val="-18"/>
        </w:rPr>
        <w:t xml:space="preserve"> </w:t>
      </w:r>
      <w:r>
        <w:t>deemed</w:t>
      </w:r>
      <w:r>
        <w:rPr>
          <w:spacing w:val="-16"/>
        </w:rPr>
        <w:t xml:space="preserve"> </w:t>
      </w:r>
      <w:r>
        <w:t>to</w:t>
      </w:r>
      <w:r>
        <w:rPr>
          <w:spacing w:val="-15"/>
        </w:rPr>
        <w:t xml:space="preserve"> </w:t>
      </w:r>
      <w:r>
        <w:t>be</w:t>
      </w:r>
      <w:r>
        <w:rPr>
          <w:spacing w:val="-18"/>
        </w:rPr>
        <w:t xml:space="preserve"> </w:t>
      </w:r>
      <w:r>
        <w:t>paying</w:t>
      </w:r>
      <w:r>
        <w:rPr>
          <w:spacing w:val="-15"/>
        </w:rPr>
        <w:t xml:space="preserve"> </w:t>
      </w:r>
      <w:r>
        <w:t>for</w:t>
      </w:r>
      <w:r>
        <w:rPr>
          <w:spacing w:val="-17"/>
        </w:rPr>
        <w:t xml:space="preserve"> </w:t>
      </w:r>
      <w:r>
        <w:t>research</w:t>
      </w:r>
      <w:r>
        <w:rPr>
          <w:spacing w:val="-14"/>
        </w:rPr>
        <w:t xml:space="preserve"> </w:t>
      </w:r>
      <w:r>
        <w:t>and</w:t>
      </w:r>
      <w:r>
        <w:rPr>
          <w:spacing w:val="-16"/>
        </w:rPr>
        <w:t xml:space="preserve"> </w:t>
      </w:r>
      <w:r>
        <w:t>these</w:t>
      </w:r>
      <w:r>
        <w:rPr>
          <w:spacing w:val="-17"/>
        </w:rPr>
        <w:t xml:space="preserve"> </w:t>
      </w:r>
      <w:r>
        <w:t>other</w:t>
      </w:r>
      <w:r>
        <w:rPr>
          <w:spacing w:val="-18"/>
        </w:rPr>
        <w:t xml:space="preserve"> </w:t>
      </w:r>
      <w:r>
        <w:t>services with</w:t>
      </w:r>
      <w:r>
        <w:rPr>
          <w:spacing w:val="-4"/>
        </w:rPr>
        <w:t xml:space="preserve"> </w:t>
      </w:r>
      <w:r>
        <w:t>“soft”</w:t>
      </w:r>
      <w:r>
        <w:rPr>
          <w:spacing w:val="-5"/>
        </w:rPr>
        <w:t xml:space="preserve"> </w:t>
      </w:r>
      <w:r>
        <w:t>or</w:t>
      </w:r>
      <w:r>
        <w:rPr>
          <w:spacing w:val="-2"/>
        </w:rPr>
        <w:t xml:space="preserve"> </w:t>
      </w:r>
      <w:r>
        <w:t>commission</w:t>
      </w:r>
      <w:r>
        <w:rPr>
          <w:spacing w:val="-3"/>
        </w:rPr>
        <w:t xml:space="preserve"> </w:t>
      </w:r>
      <w:r>
        <w:t>dollars.</w:t>
      </w:r>
      <w:r>
        <w:rPr>
          <w:spacing w:val="-4"/>
        </w:rPr>
        <w:t xml:space="preserve"> </w:t>
      </w:r>
      <w:r>
        <w:t>Research</w:t>
      </w:r>
      <w:r>
        <w:rPr>
          <w:spacing w:val="-5"/>
        </w:rPr>
        <w:t xml:space="preserve"> </w:t>
      </w:r>
      <w:r>
        <w:t>furnished</w:t>
      </w:r>
      <w:r>
        <w:rPr>
          <w:spacing w:val="-4"/>
        </w:rPr>
        <w:t xml:space="preserve"> </w:t>
      </w:r>
      <w:r>
        <w:t>by</w:t>
      </w:r>
      <w:r>
        <w:rPr>
          <w:spacing w:val="-5"/>
        </w:rPr>
        <w:t xml:space="preserve"> </w:t>
      </w:r>
      <w:r>
        <w:t>brokers</w:t>
      </w:r>
      <w:r>
        <w:rPr>
          <w:spacing w:val="-4"/>
        </w:rPr>
        <w:t xml:space="preserve"> </w:t>
      </w:r>
      <w:r>
        <w:t>or</w:t>
      </w:r>
      <w:r>
        <w:rPr>
          <w:spacing w:val="-5"/>
        </w:rPr>
        <w:t xml:space="preserve"> </w:t>
      </w:r>
      <w:r>
        <w:t>dealers</w:t>
      </w:r>
      <w:r>
        <w:rPr>
          <w:spacing w:val="-3"/>
        </w:rPr>
        <w:t xml:space="preserve"> </w:t>
      </w:r>
      <w:r>
        <w:t>or</w:t>
      </w:r>
      <w:r>
        <w:rPr>
          <w:spacing w:val="-5"/>
        </w:rPr>
        <w:t xml:space="preserve"> </w:t>
      </w:r>
      <w:r>
        <w:t>pursuant</w:t>
      </w:r>
      <w:r>
        <w:rPr>
          <w:spacing w:val="-3"/>
        </w:rPr>
        <w:t xml:space="preserve"> </w:t>
      </w:r>
      <w:r>
        <w:t>to</w:t>
      </w:r>
      <w:r>
        <w:rPr>
          <w:spacing w:val="-4"/>
        </w:rPr>
        <w:t xml:space="preserve"> </w:t>
      </w:r>
      <w:r>
        <w:t xml:space="preserve">credits accumulated at brokers or dealers through commission sharing arrangements may be used in servicing any or </w:t>
      </w:r>
      <w:proofErr w:type="gramStart"/>
      <w:r>
        <w:t>all of</w:t>
      </w:r>
      <w:proofErr w:type="gramEnd"/>
      <w:r>
        <w:t xml:space="preserve"> the Advisers’ clients and may be used for client accounts other than those that pay commissions to the broker or dealer providing the research. An Adviser also may</w:t>
      </w:r>
      <w:r>
        <w:rPr>
          <w:spacing w:val="-43"/>
        </w:rPr>
        <w:t xml:space="preserve"> </w:t>
      </w:r>
      <w:r>
        <w:t>receive soft</w:t>
      </w:r>
      <w:r>
        <w:rPr>
          <w:spacing w:val="-14"/>
        </w:rPr>
        <w:t xml:space="preserve"> </w:t>
      </w:r>
      <w:r>
        <w:t>dollar</w:t>
      </w:r>
      <w:r>
        <w:rPr>
          <w:spacing w:val="-15"/>
        </w:rPr>
        <w:t xml:space="preserve"> </w:t>
      </w:r>
      <w:r>
        <w:t>credits</w:t>
      </w:r>
      <w:r>
        <w:rPr>
          <w:spacing w:val="-14"/>
        </w:rPr>
        <w:t xml:space="preserve"> </w:t>
      </w:r>
      <w:r>
        <w:t>based</w:t>
      </w:r>
      <w:r>
        <w:rPr>
          <w:spacing w:val="-14"/>
        </w:rPr>
        <w:t xml:space="preserve"> </w:t>
      </w:r>
      <w:r>
        <w:t>on</w:t>
      </w:r>
      <w:r>
        <w:rPr>
          <w:spacing w:val="-13"/>
        </w:rPr>
        <w:t xml:space="preserve"> </w:t>
      </w:r>
      <w:r>
        <w:t>certain</w:t>
      </w:r>
      <w:r>
        <w:rPr>
          <w:spacing w:val="-14"/>
        </w:rPr>
        <w:t xml:space="preserve"> </w:t>
      </w:r>
      <w:r>
        <w:t>“riskless”</w:t>
      </w:r>
      <w:r>
        <w:rPr>
          <w:spacing w:val="-15"/>
        </w:rPr>
        <w:t xml:space="preserve"> </w:t>
      </w:r>
      <w:r>
        <w:t>principal</w:t>
      </w:r>
      <w:r>
        <w:rPr>
          <w:spacing w:val="-14"/>
        </w:rPr>
        <w:t xml:space="preserve"> </w:t>
      </w:r>
      <w:r>
        <w:t>securities</w:t>
      </w:r>
      <w:r>
        <w:rPr>
          <w:spacing w:val="-13"/>
        </w:rPr>
        <w:t xml:space="preserve"> </w:t>
      </w:r>
      <w:r>
        <w:t>transactions</w:t>
      </w:r>
      <w:r>
        <w:rPr>
          <w:spacing w:val="-14"/>
        </w:rPr>
        <w:t xml:space="preserve"> </w:t>
      </w:r>
      <w:r>
        <w:t>with</w:t>
      </w:r>
      <w:r>
        <w:rPr>
          <w:spacing w:val="-14"/>
        </w:rPr>
        <w:t xml:space="preserve"> </w:t>
      </w:r>
      <w:r>
        <w:t>brokerage</w:t>
      </w:r>
      <w:r>
        <w:rPr>
          <w:spacing w:val="-15"/>
        </w:rPr>
        <w:t xml:space="preserve"> </w:t>
      </w:r>
      <w:r>
        <w:t>firms. With respect to certain products and services used for both research/brokerage and non- research/brokerage</w:t>
      </w:r>
      <w:r>
        <w:rPr>
          <w:spacing w:val="-18"/>
        </w:rPr>
        <w:t xml:space="preserve"> </w:t>
      </w:r>
      <w:r>
        <w:t>purposes,</w:t>
      </w:r>
      <w:r>
        <w:rPr>
          <w:spacing w:val="-16"/>
        </w:rPr>
        <w:t xml:space="preserve"> </w:t>
      </w:r>
      <w:r>
        <w:t>an</w:t>
      </w:r>
      <w:r>
        <w:rPr>
          <w:spacing w:val="-16"/>
        </w:rPr>
        <w:t xml:space="preserve"> </w:t>
      </w:r>
      <w:r>
        <w:t>Adviser</w:t>
      </w:r>
      <w:r>
        <w:rPr>
          <w:spacing w:val="-17"/>
        </w:rPr>
        <w:t xml:space="preserve"> </w:t>
      </w:r>
      <w:r>
        <w:t>generally</w:t>
      </w:r>
      <w:r>
        <w:rPr>
          <w:spacing w:val="-14"/>
        </w:rPr>
        <w:t xml:space="preserve"> </w:t>
      </w:r>
      <w:r>
        <w:t>allocates</w:t>
      </w:r>
      <w:r>
        <w:rPr>
          <w:spacing w:val="-16"/>
        </w:rPr>
        <w:t xml:space="preserve"> </w:t>
      </w:r>
      <w:r>
        <w:t>the</w:t>
      </w:r>
      <w:r>
        <w:rPr>
          <w:spacing w:val="-16"/>
        </w:rPr>
        <w:t xml:space="preserve"> </w:t>
      </w:r>
      <w:r>
        <w:t>costs</w:t>
      </w:r>
      <w:r>
        <w:rPr>
          <w:spacing w:val="-15"/>
        </w:rPr>
        <w:t xml:space="preserve"> </w:t>
      </w:r>
      <w:r>
        <w:t>of</w:t>
      </w:r>
      <w:r>
        <w:rPr>
          <w:spacing w:val="-18"/>
        </w:rPr>
        <w:t xml:space="preserve"> </w:t>
      </w:r>
      <w:r>
        <w:t>such</w:t>
      </w:r>
      <w:r>
        <w:rPr>
          <w:spacing w:val="-14"/>
        </w:rPr>
        <w:t xml:space="preserve"> </w:t>
      </w:r>
      <w:r>
        <w:t>products</w:t>
      </w:r>
      <w:r>
        <w:rPr>
          <w:spacing w:val="-15"/>
        </w:rPr>
        <w:t xml:space="preserve"> </w:t>
      </w:r>
      <w:r>
        <w:t>and</w:t>
      </w:r>
      <w:r>
        <w:rPr>
          <w:spacing w:val="-16"/>
        </w:rPr>
        <w:t xml:space="preserve"> </w:t>
      </w:r>
      <w:r>
        <w:t>services between</w:t>
      </w:r>
      <w:r>
        <w:rPr>
          <w:spacing w:val="-7"/>
        </w:rPr>
        <w:t xml:space="preserve"> </w:t>
      </w:r>
      <w:r>
        <w:t>their</w:t>
      </w:r>
      <w:r>
        <w:rPr>
          <w:spacing w:val="-8"/>
        </w:rPr>
        <w:t xml:space="preserve"> </w:t>
      </w:r>
      <w:r>
        <w:t>research/brokerage</w:t>
      </w:r>
      <w:r>
        <w:rPr>
          <w:spacing w:val="-5"/>
        </w:rPr>
        <w:t xml:space="preserve"> </w:t>
      </w:r>
      <w:r>
        <w:t>and</w:t>
      </w:r>
      <w:r>
        <w:rPr>
          <w:spacing w:val="-7"/>
        </w:rPr>
        <w:t xml:space="preserve"> </w:t>
      </w:r>
      <w:r>
        <w:t>non-research/brokerage</w:t>
      </w:r>
      <w:r>
        <w:rPr>
          <w:spacing w:val="-7"/>
        </w:rPr>
        <w:t xml:space="preserve"> </w:t>
      </w:r>
      <w:r>
        <w:t>uses,</w:t>
      </w:r>
      <w:r>
        <w:rPr>
          <w:spacing w:val="-7"/>
        </w:rPr>
        <w:t xml:space="preserve"> </w:t>
      </w:r>
      <w:r>
        <w:t>and</w:t>
      </w:r>
      <w:r>
        <w:rPr>
          <w:spacing w:val="-7"/>
        </w:rPr>
        <w:t xml:space="preserve"> </w:t>
      </w:r>
      <w:r>
        <w:t>generally</w:t>
      </w:r>
      <w:r>
        <w:rPr>
          <w:spacing w:val="-6"/>
        </w:rPr>
        <w:t xml:space="preserve"> </w:t>
      </w:r>
      <w:r>
        <w:t>uses</w:t>
      </w:r>
      <w:r>
        <w:rPr>
          <w:spacing w:val="-7"/>
        </w:rPr>
        <w:t xml:space="preserve"> </w:t>
      </w:r>
      <w:r>
        <w:t>soft</w:t>
      </w:r>
      <w:r>
        <w:rPr>
          <w:spacing w:val="-6"/>
        </w:rPr>
        <w:t xml:space="preserve"> </w:t>
      </w:r>
      <w:r>
        <w:t>dollars to</w:t>
      </w:r>
      <w:r>
        <w:rPr>
          <w:spacing w:val="-12"/>
        </w:rPr>
        <w:t xml:space="preserve"> </w:t>
      </w:r>
      <w:r>
        <w:t>pay</w:t>
      </w:r>
      <w:r>
        <w:rPr>
          <w:spacing w:val="-12"/>
        </w:rPr>
        <w:t xml:space="preserve"> </w:t>
      </w:r>
      <w:r>
        <w:t>only</w:t>
      </w:r>
      <w:r>
        <w:rPr>
          <w:spacing w:val="-12"/>
        </w:rPr>
        <w:t xml:space="preserve"> </w:t>
      </w:r>
      <w:r>
        <w:t>for</w:t>
      </w:r>
      <w:r>
        <w:rPr>
          <w:spacing w:val="-13"/>
        </w:rPr>
        <w:t xml:space="preserve"> </w:t>
      </w:r>
      <w:r>
        <w:t>the</w:t>
      </w:r>
      <w:r>
        <w:rPr>
          <w:spacing w:val="-15"/>
        </w:rPr>
        <w:t xml:space="preserve"> </w:t>
      </w:r>
      <w:r>
        <w:t>portion</w:t>
      </w:r>
      <w:r>
        <w:rPr>
          <w:spacing w:val="-11"/>
        </w:rPr>
        <w:t xml:space="preserve"> </w:t>
      </w:r>
      <w:r>
        <w:t>allocated</w:t>
      </w:r>
      <w:r>
        <w:rPr>
          <w:spacing w:val="-13"/>
        </w:rPr>
        <w:t xml:space="preserve"> </w:t>
      </w:r>
      <w:r>
        <w:t>to</w:t>
      </w:r>
      <w:r>
        <w:rPr>
          <w:spacing w:val="-12"/>
        </w:rPr>
        <w:t xml:space="preserve"> </w:t>
      </w:r>
      <w:r>
        <w:t>research/brokerage</w:t>
      </w:r>
      <w:r>
        <w:rPr>
          <w:spacing w:val="-12"/>
        </w:rPr>
        <w:t xml:space="preserve"> </w:t>
      </w:r>
      <w:r>
        <w:t>uses.</w:t>
      </w:r>
      <w:r>
        <w:rPr>
          <w:spacing w:val="-12"/>
        </w:rPr>
        <w:t xml:space="preserve"> </w:t>
      </w:r>
      <w:r>
        <w:t>Examples</w:t>
      </w:r>
      <w:r>
        <w:rPr>
          <w:spacing w:val="-12"/>
        </w:rPr>
        <w:t xml:space="preserve"> </w:t>
      </w:r>
      <w:r>
        <w:t>of</w:t>
      </w:r>
      <w:r>
        <w:rPr>
          <w:spacing w:val="-12"/>
        </w:rPr>
        <w:t xml:space="preserve"> </w:t>
      </w:r>
      <w:r>
        <w:t>products</w:t>
      </w:r>
      <w:r>
        <w:rPr>
          <w:spacing w:val="-11"/>
        </w:rPr>
        <w:t xml:space="preserve"> </w:t>
      </w:r>
      <w:r>
        <w:t>and</w:t>
      </w:r>
      <w:r>
        <w:rPr>
          <w:spacing w:val="-12"/>
        </w:rPr>
        <w:t xml:space="preserve"> </w:t>
      </w:r>
      <w:r>
        <w:t xml:space="preserve">services used for non-research/brokerage purposes (and not paid for with soft dollars) include equipment and exchange data (e.g., quotes, volume). Some of these services may be of value to the Advisers and their related parties in advising various of their clients (including the Funds), although not </w:t>
      </w:r>
      <w:proofErr w:type="gramStart"/>
      <w:r>
        <w:t>all of</w:t>
      </w:r>
      <w:proofErr w:type="gramEnd"/>
      <w:r>
        <w:t xml:space="preserve"> these services are necessarily useful and of value in managing the Funds. The management fee paid by a Fund is not reduced because an Adviser or its related parties receive these services</w:t>
      </w:r>
      <w:r>
        <w:rPr>
          <w:spacing w:val="-27"/>
        </w:rPr>
        <w:t xml:space="preserve"> </w:t>
      </w:r>
      <w:r>
        <w:t>even though the Adviser might otherwise be required to purchase some of these services for cash. An Adviser’s authority to cause a Fund to pay any such greater commissions is also subject to such policies as the Trustees may adopt from time to</w:t>
      </w:r>
      <w:r>
        <w:rPr>
          <w:spacing w:val="-1"/>
        </w:rPr>
        <w:t xml:space="preserve"> </w:t>
      </w:r>
      <w:r>
        <w:t>time.</w:t>
      </w:r>
    </w:p>
    <w:p w14:paraId="09073A85" w14:textId="77777777" w:rsidR="00616305" w:rsidRDefault="00616305">
      <w:pPr>
        <w:pStyle w:val="BodyText"/>
        <w:rPr>
          <w:sz w:val="21"/>
        </w:rPr>
      </w:pPr>
    </w:p>
    <w:p w14:paraId="755CADDF" w14:textId="37E121A9" w:rsidR="00616305" w:rsidRDefault="00461EBB">
      <w:pPr>
        <w:pStyle w:val="BodyText"/>
        <w:ind w:left="160" w:right="117" w:firstLine="719"/>
        <w:jc w:val="both"/>
      </w:pPr>
      <w:r>
        <w:t>The Adviser may pay commissions for the purpose of obtaining “brokerage and research services” (as defined for purposes of Section 28(e)) in reliance on Section 28(e) of the 1934 Act. Below is a non-exhaustive list of broker-dealers to whom the Adviser has sent trades or may</w:t>
      </w:r>
      <w:r>
        <w:rPr>
          <w:spacing w:val="-19"/>
        </w:rPr>
        <w:t xml:space="preserve"> </w:t>
      </w:r>
      <w:r>
        <w:t>send trades for the Funds’ accounts during the current fiscal year. In addition to trade execution, these broker-dealers may also provide research services, such as those described above, to the Adviser. Such research is not provided to the Adviser with respect to any specific client of the Adviser or retirement plan product. As a result, the value of brokerage or research services received by the Adviser</w:t>
      </w:r>
      <w:r>
        <w:rPr>
          <w:spacing w:val="-9"/>
        </w:rPr>
        <w:t xml:space="preserve"> </w:t>
      </w:r>
      <w:r>
        <w:t>in</w:t>
      </w:r>
      <w:r>
        <w:rPr>
          <w:spacing w:val="-8"/>
        </w:rPr>
        <w:t xml:space="preserve"> </w:t>
      </w:r>
      <w:r>
        <w:t>connection</w:t>
      </w:r>
      <w:r>
        <w:rPr>
          <w:spacing w:val="-9"/>
        </w:rPr>
        <w:t xml:space="preserve"> </w:t>
      </w:r>
      <w:r>
        <w:t>with</w:t>
      </w:r>
      <w:r>
        <w:rPr>
          <w:spacing w:val="-7"/>
        </w:rPr>
        <w:t xml:space="preserve"> </w:t>
      </w:r>
      <w:r>
        <w:t>the</w:t>
      </w:r>
      <w:r>
        <w:rPr>
          <w:spacing w:val="-9"/>
        </w:rPr>
        <w:t xml:space="preserve"> </w:t>
      </w:r>
      <w:r>
        <w:t>Funds</w:t>
      </w:r>
      <w:r>
        <w:rPr>
          <w:spacing w:val="-8"/>
        </w:rPr>
        <w:t xml:space="preserve"> </w:t>
      </w:r>
      <w:r>
        <w:t>is</w:t>
      </w:r>
      <w:r>
        <w:rPr>
          <w:spacing w:val="-7"/>
        </w:rPr>
        <w:t xml:space="preserve"> </w:t>
      </w:r>
      <w:r>
        <w:t>very</w:t>
      </w:r>
      <w:r>
        <w:rPr>
          <w:spacing w:val="-9"/>
        </w:rPr>
        <w:t xml:space="preserve"> </w:t>
      </w:r>
      <w:r>
        <w:t>difficult</w:t>
      </w:r>
      <w:r>
        <w:rPr>
          <w:spacing w:val="-8"/>
        </w:rPr>
        <w:t xml:space="preserve"> </w:t>
      </w:r>
      <w:r>
        <w:t>to</w:t>
      </w:r>
      <w:r>
        <w:rPr>
          <w:spacing w:val="-8"/>
        </w:rPr>
        <w:t xml:space="preserve"> </w:t>
      </w:r>
      <w:r>
        <w:t>quantify</w:t>
      </w:r>
      <w:r>
        <w:rPr>
          <w:spacing w:val="-8"/>
        </w:rPr>
        <w:t xml:space="preserve"> </w:t>
      </w:r>
      <w:r>
        <w:t>and</w:t>
      </w:r>
      <w:r>
        <w:rPr>
          <w:spacing w:val="-9"/>
        </w:rPr>
        <w:t xml:space="preserve"> </w:t>
      </w:r>
      <w:r>
        <w:t>there</w:t>
      </w:r>
      <w:r>
        <w:rPr>
          <w:spacing w:val="-10"/>
        </w:rPr>
        <w:t xml:space="preserve"> </w:t>
      </w:r>
      <w:r>
        <w:t>is</w:t>
      </w:r>
      <w:r>
        <w:rPr>
          <w:spacing w:val="-7"/>
        </w:rPr>
        <w:t xml:space="preserve"> </w:t>
      </w:r>
      <w:r>
        <w:t>no</w:t>
      </w:r>
      <w:r>
        <w:rPr>
          <w:spacing w:val="-9"/>
        </w:rPr>
        <w:t xml:space="preserve"> </w:t>
      </w:r>
      <w:r>
        <w:t>formula</w:t>
      </w:r>
      <w:r>
        <w:rPr>
          <w:spacing w:val="-10"/>
        </w:rPr>
        <w:t xml:space="preserve"> </w:t>
      </w:r>
      <w:r>
        <w:t>by</w:t>
      </w:r>
      <w:r>
        <w:rPr>
          <w:spacing w:val="-8"/>
        </w:rPr>
        <w:t xml:space="preserve"> </w:t>
      </w:r>
      <w:r>
        <w:t>which they could be determined with</w:t>
      </w:r>
      <w:r>
        <w:rPr>
          <w:spacing w:val="1"/>
        </w:rPr>
        <w:t xml:space="preserve"> </w:t>
      </w:r>
      <w:r>
        <w:t>precision.</w:t>
      </w:r>
    </w:p>
    <w:p w14:paraId="52D52789" w14:textId="77777777" w:rsidR="00924BC6" w:rsidRDefault="00924BC6">
      <w:pPr>
        <w:pStyle w:val="BodyText"/>
        <w:ind w:left="160" w:right="117" w:firstLine="719"/>
        <w:jc w:val="both"/>
      </w:pPr>
    </w:p>
    <w:p w14:paraId="7F872EA2" w14:textId="77777777" w:rsidR="00616305" w:rsidRDefault="00616305">
      <w:pPr>
        <w:pStyle w:val="BodyText"/>
        <w:rPr>
          <w:sz w:val="21"/>
        </w:rPr>
      </w:pPr>
    </w:p>
    <w:tbl>
      <w:tblPr>
        <w:tblStyle w:val="TableGrid"/>
        <w:tblW w:w="0" w:type="auto"/>
        <w:tblLook w:val="04A0" w:firstRow="1" w:lastRow="0" w:firstColumn="1" w:lastColumn="0" w:noHBand="0" w:noVBand="1"/>
      </w:tblPr>
      <w:tblGrid>
        <w:gridCol w:w="4675"/>
        <w:gridCol w:w="4675"/>
      </w:tblGrid>
      <w:tr w:rsidR="00DF4660" w:rsidRPr="00F43CD8" w14:paraId="440F770B" w14:textId="77777777" w:rsidTr="00E058BE">
        <w:trPr>
          <w:tblHeader/>
        </w:trPr>
        <w:tc>
          <w:tcPr>
            <w:tcW w:w="9350" w:type="dxa"/>
            <w:gridSpan w:val="2"/>
            <w:shd w:val="clear" w:color="auto" w:fill="B6DDE8" w:themeFill="accent5" w:themeFillTint="66"/>
          </w:tcPr>
          <w:p w14:paraId="2C57EC42" w14:textId="77777777" w:rsidR="00DF4660" w:rsidRPr="00F43CD8" w:rsidRDefault="00DF4660" w:rsidP="00E058BE">
            <w:pPr>
              <w:jc w:val="center"/>
              <w:rPr>
                <w:b/>
                <w:bCs/>
                <w:sz w:val="24"/>
                <w:szCs w:val="24"/>
              </w:rPr>
            </w:pPr>
            <w:r w:rsidRPr="00F43CD8">
              <w:rPr>
                <w:b/>
                <w:bCs/>
                <w:sz w:val="24"/>
                <w:szCs w:val="24"/>
              </w:rPr>
              <w:t>Potential Research Providers</w:t>
            </w:r>
          </w:p>
        </w:tc>
      </w:tr>
      <w:tr w:rsidR="00DF4660" w:rsidRPr="00F43CD8" w14:paraId="7AE14D2D" w14:textId="77777777" w:rsidTr="00E058BE">
        <w:tc>
          <w:tcPr>
            <w:tcW w:w="4675" w:type="dxa"/>
          </w:tcPr>
          <w:p w14:paraId="2056BD63" w14:textId="77777777" w:rsidR="00DF4660" w:rsidRPr="00F43CD8" w:rsidRDefault="00DF4660" w:rsidP="00E058BE">
            <w:pPr>
              <w:rPr>
                <w:sz w:val="24"/>
                <w:szCs w:val="24"/>
              </w:rPr>
            </w:pPr>
            <w:proofErr w:type="spellStart"/>
            <w:r w:rsidRPr="00F43CD8">
              <w:rPr>
                <w:sz w:val="24"/>
                <w:szCs w:val="24"/>
              </w:rPr>
              <w:t>InspereX</w:t>
            </w:r>
            <w:proofErr w:type="spellEnd"/>
            <w:r w:rsidRPr="00F43CD8">
              <w:rPr>
                <w:sz w:val="24"/>
                <w:szCs w:val="24"/>
              </w:rPr>
              <w:t xml:space="preserve"> (formerly 280 Securities LLC)</w:t>
            </w:r>
          </w:p>
        </w:tc>
        <w:tc>
          <w:tcPr>
            <w:tcW w:w="4675" w:type="dxa"/>
          </w:tcPr>
          <w:p w14:paraId="3AAC3105" w14:textId="77777777" w:rsidR="00DF4660" w:rsidRPr="00604B44" w:rsidRDefault="00DF4660" w:rsidP="00E058BE">
            <w:pPr>
              <w:rPr>
                <w:sz w:val="24"/>
                <w:szCs w:val="24"/>
              </w:rPr>
            </w:pPr>
            <w:r w:rsidRPr="00604B44">
              <w:rPr>
                <w:sz w:val="24"/>
                <w:szCs w:val="24"/>
              </w:rPr>
              <w:t>Loop Capital Markets LLC</w:t>
            </w:r>
          </w:p>
        </w:tc>
      </w:tr>
      <w:tr w:rsidR="00DF4660" w:rsidRPr="00F43CD8" w14:paraId="6FEAB7AE" w14:textId="77777777" w:rsidTr="00E058BE">
        <w:tc>
          <w:tcPr>
            <w:tcW w:w="4675" w:type="dxa"/>
          </w:tcPr>
          <w:p w14:paraId="305AB8AD" w14:textId="77777777" w:rsidR="00DF4660" w:rsidRPr="00F43CD8" w:rsidRDefault="00DF4660" w:rsidP="00E058BE">
            <w:pPr>
              <w:rPr>
                <w:sz w:val="24"/>
                <w:szCs w:val="24"/>
              </w:rPr>
            </w:pPr>
            <w:r w:rsidRPr="00F43CD8">
              <w:rPr>
                <w:sz w:val="24"/>
                <w:szCs w:val="24"/>
              </w:rPr>
              <w:t>Academy Securities, Inc.</w:t>
            </w:r>
          </w:p>
        </w:tc>
        <w:tc>
          <w:tcPr>
            <w:tcW w:w="4675" w:type="dxa"/>
          </w:tcPr>
          <w:p w14:paraId="236B8C1B" w14:textId="77777777" w:rsidR="00DF4660" w:rsidRPr="00604B44" w:rsidRDefault="00DF4660" w:rsidP="00E058BE">
            <w:pPr>
              <w:rPr>
                <w:sz w:val="24"/>
                <w:szCs w:val="24"/>
              </w:rPr>
            </w:pPr>
            <w:r w:rsidRPr="00604B44">
              <w:rPr>
                <w:sz w:val="24"/>
                <w:szCs w:val="24"/>
              </w:rPr>
              <w:t>Macquarie Bank Limited</w:t>
            </w:r>
          </w:p>
        </w:tc>
      </w:tr>
      <w:tr w:rsidR="00DF4660" w:rsidRPr="00F43CD8" w14:paraId="1A3BE8BF" w14:textId="77777777" w:rsidTr="00E058BE">
        <w:tc>
          <w:tcPr>
            <w:tcW w:w="4675" w:type="dxa"/>
          </w:tcPr>
          <w:p w14:paraId="1A95802E" w14:textId="77777777" w:rsidR="00DF4660" w:rsidRPr="00F43CD8" w:rsidRDefault="00DF4660" w:rsidP="00E058BE">
            <w:pPr>
              <w:rPr>
                <w:sz w:val="24"/>
                <w:szCs w:val="24"/>
              </w:rPr>
            </w:pPr>
            <w:r w:rsidRPr="00F43CD8">
              <w:rPr>
                <w:sz w:val="24"/>
                <w:szCs w:val="24"/>
              </w:rPr>
              <w:t>Amherst Pierpont Securities LLC</w:t>
            </w:r>
          </w:p>
        </w:tc>
        <w:tc>
          <w:tcPr>
            <w:tcW w:w="4675" w:type="dxa"/>
          </w:tcPr>
          <w:p w14:paraId="746322D3" w14:textId="77777777" w:rsidR="00DF4660" w:rsidRPr="00F43CD8" w:rsidRDefault="00DF4660" w:rsidP="00E058BE">
            <w:pPr>
              <w:rPr>
                <w:sz w:val="24"/>
                <w:szCs w:val="24"/>
              </w:rPr>
            </w:pPr>
            <w:r w:rsidRPr="00F43CD8">
              <w:rPr>
                <w:sz w:val="24"/>
                <w:szCs w:val="24"/>
              </w:rPr>
              <w:t>Macquarie Capital Markets North America Ltd.</w:t>
            </w:r>
          </w:p>
        </w:tc>
      </w:tr>
      <w:tr w:rsidR="00DF4660" w:rsidRPr="00F43CD8" w14:paraId="4F2DD448" w14:textId="77777777" w:rsidTr="00E058BE">
        <w:tc>
          <w:tcPr>
            <w:tcW w:w="4675" w:type="dxa"/>
          </w:tcPr>
          <w:p w14:paraId="075CB70A" w14:textId="77777777" w:rsidR="00DF4660" w:rsidRPr="00F43CD8" w:rsidRDefault="00DF4660" w:rsidP="00E058BE">
            <w:pPr>
              <w:rPr>
                <w:sz w:val="24"/>
                <w:szCs w:val="24"/>
              </w:rPr>
            </w:pPr>
            <w:r w:rsidRPr="00F43CD8">
              <w:rPr>
                <w:sz w:val="24"/>
                <w:szCs w:val="24"/>
              </w:rPr>
              <w:t>Antares Capital</w:t>
            </w:r>
          </w:p>
        </w:tc>
        <w:tc>
          <w:tcPr>
            <w:tcW w:w="4675" w:type="dxa"/>
          </w:tcPr>
          <w:p w14:paraId="0AE6B156" w14:textId="77777777" w:rsidR="00DF4660" w:rsidRPr="00F43CD8" w:rsidRDefault="00DF4660" w:rsidP="00E058BE">
            <w:pPr>
              <w:rPr>
                <w:sz w:val="24"/>
                <w:szCs w:val="24"/>
              </w:rPr>
            </w:pPr>
            <w:r w:rsidRPr="00F43CD8">
              <w:rPr>
                <w:sz w:val="24"/>
                <w:szCs w:val="24"/>
              </w:rPr>
              <w:t>Macquarie Capital (USA) Inc.</w:t>
            </w:r>
          </w:p>
        </w:tc>
      </w:tr>
      <w:tr w:rsidR="00DF4660" w:rsidRPr="00F43CD8" w14:paraId="6539E46C" w14:textId="77777777" w:rsidTr="00E058BE">
        <w:tc>
          <w:tcPr>
            <w:tcW w:w="4675" w:type="dxa"/>
          </w:tcPr>
          <w:p w14:paraId="2C35B629" w14:textId="77777777" w:rsidR="00DF4660" w:rsidRPr="00F43CD8" w:rsidRDefault="00DF4660" w:rsidP="00E058BE">
            <w:pPr>
              <w:rPr>
                <w:sz w:val="24"/>
                <w:szCs w:val="24"/>
              </w:rPr>
            </w:pPr>
            <w:r w:rsidRPr="00F43CD8">
              <w:rPr>
                <w:sz w:val="24"/>
                <w:szCs w:val="24"/>
              </w:rPr>
              <w:t>ANZ Securities, Inc.</w:t>
            </w:r>
          </w:p>
        </w:tc>
        <w:tc>
          <w:tcPr>
            <w:tcW w:w="4675" w:type="dxa"/>
          </w:tcPr>
          <w:p w14:paraId="2399FADE" w14:textId="77777777" w:rsidR="00DF4660" w:rsidRPr="00F43CD8" w:rsidRDefault="00DF4660" w:rsidP="00E058BE">
            <w:pPr>
              <w:rPr>
                <w:sz w:val="24"/>
                <w:szCs w:val="24"/>
              </w:rPr>
            </w:pPr>
            <w:r w:rsidRPr="00F43CD8">
              <w:rPr>
                <w:sz w:val="24"/>
                <w:szCs w:val="24"/>
              </w:rPr>
              <w:t>Macquarie Group Limited</w:t>
            </w:r>
          </w:p>
        </w:tc>
      </w:tr>
      <w:tr w:rsidR="00DF4660" w:rsidRPr="00F43CD8" w14:paraId="14392566" w14:textId="77777777" w:rsidTr="00E058BE">
        <w:tc>
          <w:tcPr>
            <w:tcW w:w="4675" w:type="dxa"/>
          </w:tcPr>
          <w:p w14:paraId="78FCF1E6" w14:textId="77777777" w:rsidR="00DF4660" w:rsidRPr="00F43CD8" w:rsidRDefault="00DF4660" w:rsidP="00E058BE">
            <w:pPr>
              <w:rPr>
                <w:sz w:val="24"/>
                <w:szCs w:val="24"/>
              </w:rPr>
            </w:pPr>
            <w:r w:rsidRPr="00F43CD8">
              <w:rPr>
                <w:sz w:val="24"/>
                <w:szCs w:val="24"/>
              </w:rPr>
              <w:t xml:space="preserve">Banco do </w:t>
            </w:r>
            <w:proofErr w:type="spellStart"/>
            <w:r w:rsidRPr="00F43CD8">
              <w:rPr>
                <w:sz w:val="24"/>
                <w:szCs w:val="24"/>
              </w:rPr>
              <w:t>Brasil</w:t>
            </w:r>
            <w:proofErr w:type="spellEnd"/>
            <w:r w:rsidRPr="00F43CD8">
              <w:rPr>
                <w:sz w:val="24"/>
                <w:szCs w:val="24"/>
              </w:rPr>
              <w:t xml:space="preserve"> Securities LLC</w:t>
            </w:r>
          </w:p>
        </w:tc>
        <w:tc>
          <w:tcPr>
            <w:tcW w:w="4675" w:type="dxa"/>
          </w:tcPr>
          <w:p w14:paraId="1AD90FA0" w14:textId="77777777" w:rsidR="00DF4660" w:rsidRPr="00F43CD8" w:rsidRDefault="00DF4660" w:rsidP="00E058BE">
            <w:pPr>
              <w:rPr>
                <w:sz w:val="24"/>
                <w:szCs w:val="24"/>
              </w:rPr>
            </w:pPr>
            <w:proofErr w:type="spellStart"/>
            <w:r w:rsidRPr="00F43CD8">
              <w:rPr>
                <w:sz w:val="24"/>
                <w:szCs w:val="24"/>
              </w:rPr>
              <w:t>MarketAxess</w:t>
            </w:r>
            <w:proofErr w:type="spellEnd"/>
            <w:r w:rsidRPr="00F43CD8">
              <w:rPr>
                <w:sz w:val="24"/>
                <w:szCs w:val="24"/>
              </w:rPr>
              <w:t xml:space="preserve"> Corporation</w:t>
            </w:r>
          </w:p>
        </w:tc>
      </w:tr>
      <w:tr w:rsidR="00DF4660" w:rsidRPr="00F43CD8" w14:paraId="46C53BA9" w14:textId="77777777" w:rsidTr="00E058BE">
        <w:tc>
          <w:tcPr>
            <w:tcW w:w="4675" w:type="dxa"/>
          </w:tcPr>
          <w:p w14:paraId="6F5C7D56" w14:textId="77777777" w:rsidR="00DF4660" w:rsidRPr="00F43CD8" w:rsidRDefault="00DF4660" w:rsidP="00E058BE">
            <w:pPr>
              <w:rPr>
                <w:sz w:val="24"/>
                <w:szCs w:val="24"/>
              </w:rPr>
            </w:pPr>
            <w:r w:rsidRPr="00F43CD8">
              <w:rPr>
                <w:sz w:val="24"/>
                <w:szCs w:val="24"/>
              </w:rPr>
              <w:t>Bank of America Merrill Lynch</w:t>
            </w:r>
          </w:p>
        </w:tc>
        <w:tc>
          <w:tcPr>
            <w:tcW w:w="4675" w:type="dxa"/>
          </w:tcPr>
          <w:p w14:paraId="4A4150CA" w14:textId="77777777" w:rsidR="00DF4660" w:rsidRPr="00F43CD8" w:rsidRDefault="00DF4660" w:rsidP="00E058BE">
            <w:pPr>
              <w:rPr>
                <w:sz w:val="24"/>
                <w:szCs w:val="24"/>
              </w:rPr>
            </w:pPr>
            <w:r w:rsidRPr="00F43CD8">
              <w:rPr>
                <w:sz w:val="24"/>
                <w:szCs w:val="24"/>
              </w:rPr>
              <w:t>Maxim Group LLC</w:t>
            </w:r>
          </w:p>
        </w:tc>
      </w:tr>
      <w:tr w:rsidR="00DF4660" w:rsidRPr="00F43CD8" w14:paraId="0062B160" w14:textId="77777777" w:rsidTr="00E058BE">
        <w:tc>
          <w:tcPr>
            <w:tcW w:w="4675" w:type="dxa"/>
          </w:tcPr>
          <w:p w14:paraId="178E99EA" w14:textId="77777777" w:rsidR="00DF4660" w:rsidRPr="00F43CD8" w:rsidRDefault="00DF4660" w:rsidP="00E058BE">
            <w:pPr>
              <w:rPr>
                <w:sz w:val="24"/>
                <w:szCs w:val="24"/>
              </w:rPr>
            </w:pPr>
            <w:r w:rsidRPr="00F43CD8">
              <w:rPr>
                <w:sz w:val="24"/>
                <w:szCs w:val="24"/>
              </w:rPr>
              <w:t>Barclays Capital Inc.</w:t>
            </w:r>
          </w:p>
        </w:tc>
        <w:tc>
          <w:tcPr>
            <w:tcW w:w="4675" w:type="dxa"/>
          </w:tcPr>
          <w:p w14:paraId="54B35F7A" w14:textId="77777777" w:rsidR="00DF4660" w:rsidRPr="00F43CD8" w:rsidRDefault="00DF4660" w:rsidP="00E058BE">
            <w:pPr>
              <w:rPr>
                <w:sz w:val="24"/>
                <w:szCs w:val="24"/>
              </w:rPr>
            </w:pPr>
            <w:r w:rsidRPr="00F43CD8">
              <w:rPr>
                <w:sz w:val="24"/>
                <w:szCs w:val="24"/>
              </w:rPr>
              <w:t>Mesirow Financial</w:t>
            </w:r>
          </w:p>
        </w:tc>
      </w:tr>
      <w:tr w:rsidR="00DF4660" w:rsidRPr="00F43CD8" w14:paraId="0F849CD7" w14:textId="77777777" w:rsidTr="00E058BE">
        <w:tc>
          <w:tcPr>
            <w:tcW w:w="4675" w:type="dxa"/>
          </w:tcPr>
          <w:p w14:paraId="653B727C" w14:textId="77777777" w:rsidR="00DF4660" w:rsidRPr="00F43CD8" w:rsidRDefault="00DF4660" w:rsidP="00E058BE">
            <w:pPr>
              <w:rPr>
                <w:sz w:val="24"/>
                <w:szCs w:val="24"/>
              </w:rPr>
            </w:pPr>
            <w:r w:rsidRPr="00F43CD8">
              <w:rPr>
                <w:sz w:val="24"/>
                <w:szCs w:val="24"/>
              </w:rPr>
              <w:t>Bay Crest Partners, LLC</w:t>
            </w:r>
          </w:p>
        </w:tc>
        <w:tc>
          <w:tcPr>
            <w:tcW w:w="4675" w:type="dxa"/>
          </w:tcPr>
          <w:p w14:paraId="34A3EB3F" w14:textId="77777777" w:rsidR="00DF4660" w:rsidRPr="00F43CD8" w:rsidRDefault="00DF4660" w:rsidP="00E058BE">
            <w:pPr>
              <w:rPr>
                <w:sz w:val="24"/>
                <w:szCs w:val="24"/>
              </w:rPr>
            </w:pPr>
            <w:r w:rsidRPr="00F43CD8">
              <w:rPr>
                <w:sz w:val="24"/>
                <w:szCs w:val="24"/>
              </w:rPr>
              <w:t>Millennium Advisors, LLC</w:t>
            </w:r>
          </w:p>
        </w:tc>
      </w:tr>
      <w:tr w:rsidR="00DF4660" w:rsidRPr="00F43CD8" w14:paraId="2D65F96F" w14:textId="77777777" w:rsidTr="00E058BE">
        <w:tc>
          <w:tcPr>
            <w:tcW w:w="4675" w:type="dxa"/>
          </w:tcPr>
          <w:p w14:paraId="6D81AC7C" w14:textId="77777777" w:rsidR="00DF4660" w:rsidRPr="00F43CD8" w:rsidRDefault="00DF4660" w:rsidP="00E058BE">
            <w:pPr>
              <w:rPr>
                <w:sz w:val="24"/>
                <w:szCs w:val="24"/>
              </w:rPr>
            </w:pPr>
            <w:r w:rsidRPr="00F43CD8">
              <w:rPr>
                <w:sz w:val="24"/>
                <w:szCs w:val="24"/>
              </w:rPr>
              <w:t>B. Riley FBR, Inc.</w:t>
            </w:r>
          </w:p>
        </w:tc>
        <w:tc>
          <w:tcPr>
            <w:tcW w:w="4675" w:type="dxa"/>
          </w:tcPr>
          <w:p w14:paraId="22C2FCB9" w14:textId="77777777" w:rsidR="00DF4660" w:rsidRPr="00F43CD8" w:rsidRDefault="00DF4660" w:rsidP="00E058BE">
            <w:pPr>
              <w:rPr>
                <w:sz w:val="24"/>
                <w:szCs w:val="24"/>
              </w:rPr>
            </w:pPr>
            <w:r w:rsidRPr="00F43CD8">
              <w:rPr>
                <w:sz w:val="24"/>
                <w:szCs w:val="24"/>
              </w:rPr>
              <w:t>Mizuho Securities USA LLC</w:t>
            </w:r>
          </w:p>
        </w:tc>
      </w:tr>
      <w:tr w:rsidR="00DF4660" w:rsidRPr="00F43CD8" w14:paraId="30ABF10C" w14:textId="77777777" w:rsidTr="00E058BE">
        <w:tc>
          <w:tcPr>
            <w:tcW w:w="4675" w:type="dxa"/>
          </w:tcPr>
          <w:p w14:paraId="3C1EE1F4" w14:textId="77777777" w:rsidR="00DF4660" w:rsidRPr="00F43CD8" w:rsidRDefault="00DF4660" w:rsidP="00E058BE">
            <w:pPr>
              <w:rPr>
                <w:sz w:val="24"/>
                <w:szCs w:val="24"/>
              </w:rPr>
            </w:pPr>
            <w:r w:rsidRPr="00F43CD8">
              <w:rPr>
                <w:sz w:val="24"/>
                <w:szCs w:val="24"/>
              </w:rPr>
              <w:t>BBVA Securities Inc.</w:t>
            </w:r>
          </w:p>
        </w:tc>
        <w:tc>
          <w:tcPr>
            <w:tcW w:w="4675" w:type="dxa"/>
          </w:tcPr>
          <w:p w14:paraId="07CF2430" w14:textId="77777777" w:rsidR="00DF4660" w:rsidRPr="00F43CD8" w:rsidRDefault="00DF4660" w:rsidP="00E058BE">
            <w:pPr>
              <w:rPr>
                <w:sz w:val="24"/>
                <w:szCs w:val="24"/>
              </w:rPr>
            </w:pPr>
            <w:r w:rsidRPr="00F43CD8">
              <w:rPr>
                <w:sz w:val="24"/>
                <w:szCs w:val="24"/>
              </w:rPr>
              <w:t>MKM Partners LLC</w:t>
            </w:r>
          </w:p>
        </w:tc>
      </w:tr>
      <w:tr w:rsidR="00DF4660" w:rsidRPr="00F43CD8" w14:paraId="6A9102E1" w14:textId="77777777" w:rsidTr="00E058BE">
        <w:tc>
          <w:tcPr>
            <w:tcW w:w="4675" w:type="dxa"/>
          </w:tcPr>
          <w:p w14:paraId="4F4B2842" w14:textId="77777777" w:rsidR="00DF4660" w:rsidRPr="00F43CD8" w:rsidRDefault="00DF4660" w:rsidP="00E058BE">
            <w:pPr>
              <w:rPr>
                <w:sz w:val="24"/>
                <w:szCs w:val="24"/>
              </w:rPr>
            </w:pPr>
            <w:r w:rsidRPr="00F43CD8">
              <w:rPr>
                <w:sz w:val="24"/>
                <w:szCs w:val="24"/>
              </w:rPr>
              <w:t>BCP Securities, LLC</w:t>
            </w:r>
          </w:p>
        </w:tc>
        <w:tc>
          <w:tcPr>
            <w:tcW w:w="4675" w:type="dxa"/>
          </w:tcPr>
          <w:p w14:paraId="11545015" w14:textId="77777777" w:rsidR="00DF4660" w:rsidRPr="00F43CD8" w:rsidRDefault="00DF4660" w:rsidP="00E058BE">
            <w:pPr>
              <w:rPr>
                <w:sz w:val="24"/>
                <w:szCs w:val="24"/>
              </w:rPr>
            </w:pPr>
            <w:r w:rsidRPr="00F43CD8">
              <w:rPr>
                <w:sz w:val="24"/>
                <w:szCs w:val="24"/>
              </w:rPr>
              <w:t>Morgan Stanley &amp; Co. LLC</w:t>
            </w:r>
          </w:p>
        </w:tc>
      </w:tr>
      <w:tr w:rsidR="00DF4660" w:rsidRPr="00F43CD8" w14:paraId="74EBA6E0" w14:textId="77777777" w:rsidTr="00E058BE">
        <w:tc>
          <w:tcPr>
            <w:tcW w:w="4675" w:type="dxa"/>
          </w:tcPr>
          <w:p w14:paraId="582855FE" w14:textId="77777777" w:rsidR="00DF4660" w:rsidRPr="00F43CD8" w:rsidRDefault="00DF4660" w:rsidP="00E058BE">
            <w:pPr>
              <w:rPr>
                <w:sz w:val="24"/>
                <w:szCs w:val="24"/>
              </w:rPr>
            </w:pPr>
            <w:r w:rsidRPr="00F43CD8">
              <w:rPr>
                <w:sz w:val="24"/>
                <w:szCs w:val="24"/>
              </w:rPr>
              <w:t>Sanford C. Bernstein &amp; Co., LLC</w:t>
            </w:r>
          </w:p>
        </w:tc>
        <w:tc>
          <w:tcPr>
            <w:tcW w:w="4675" w:type="dxa"/>
          </w:tcPr>
          <w:p w14:paraId="1E77CC77" w14:textId="77777777" w:rsidR="00DF4660" w:rsidRPr="00F43CD8" w:rsidRDefault="00DF4660" w:rsidP="00E058BE">
            <w:pPr>
              <w:rPr>
                <w:sz w:val="24"/>
                <w:szCs w:val="24"/>
              </w:rPr>
            </w:pPr>
            <w:r w:rsidRPr="00F43CD8">
              <w:rPr>
                <w:sz w:val="24"/>
                <w:szCs w:val="24"/>
              </w:rPr>
              <w:t>MUFG Securities Americas Inc.</w:t>
            </w:r>
          </w:p>
        </w:tc>
      </w:tr>
      <w:tr w:rsidR="00DF4660" w:rsidRPr="00F43CD8" w14:paraId="544BD0E3" w14:textId="77777777" w:rsidTr="00E058BE">
        <w:tc>
          <w:tcPr>
            <w:tcW w:w="4675" w:type="dxa"/>
          </w:tcPr>
          <w:p w14:paraId="0F6DE1AE" w14:textId="77777777" w:rsidR="00DF4660" w:rsidRPr="00F43CD8" w:rsidRDefault="00DF4660" w:rsidP="00E058BE">
            <w:pPr>
              <w:rPr>
                <w:sz w:val="24"/>
                <w:szCs w:val="24"/>
              </w:rPr>
            </w:pPr>
            <w:r w:rsidRPr="00F43CD8">
              <w:rPr>
                <w:sz w:val="24"/>
                <w:szCs w:val="24"/>
              </w:rPr>
              <w:lastRenderedPageBreak/>
              <w:t>BMO Capital Markets</w:t>
            </w:r>
          </w:p>
        </w:tc>
        <w:tc>
          <w:tcPr>
            <w:tcW w:w="4675" w:type="dxa"/>
          </w:tcPr>
          <w:p w14:paraId="05777EE5" w14:textId="77777777" w:rsidR="00DF4660" w:rsidRPr="00F43CD8" w:rsidRDefault="00DF4660" w:rsidP="00E058BE">
            <w:pPr>
              <w:rPr>
                <w:sz w:val="24"/>
                <w:szCs w:val="24"/>
              </w:rPr>
            </w:pPr>
            <w:proofErr w:type="spellStart"/>
            <w:r w:rsidRPr="00F43CD8">
              <w:rPr>
                <w:sz w:val="24"/>
                <w:szCs w:val="24"/>
              </w:rPr>
              <w:t>NABSecurities</w:t>
            </w:r>
            <w:proofErr w:type="spellEnd"/>
            <w:r w:rsidRPr="00F43CD8">
              <w:rPr>
                <w:sz w:val="24"/>
                <w:szCs w:val="24"/>
              </w:rPr>
              <w:t>, LLC</w:t>
            </w:r>
          </w:p>
        </w:tc>
      </w:tr>
      <w:tr w:rsidR="00DF4660" w:rsidRPr="00F43CD8" w14:paraId="52ACC9C5" w14:textId="77777777" w:rsidTr="00E058BE">
        <w:tc>
          <w:tcPr>
            <w:tcW w:w="4675" w:type="dxa"/>
          </w:tcPr>
          <w:p w14:paraId="7B99690E" w14:textId="77777777" w:rsidR="00DF4660" w:rsidRPr="00F43CD8" w:rsidRDefault="00DF4660" w:rsidP="00E058BE">
            <w:pPr>
              <w:rPr>
                <w:sz w:val="24"/>
                <w:szCs w:val="24"/>
              </w:rPr>
            </w:pPr>
            <w:r w:rsidRPr="00F43CD8">
              <w:rPr>
                <w:sz w:val="24"/>
                <w:szCs w:val="24"/>
              </w:rPr>
              <w:t>BNP Paribas Securities Corp.</w:t>
            </w:r>
          </w:p>
        </w:tc>
        <w:tc>
          <w:tcPr>
            <w:tcW w:w="4675" w:type="dxa"/>
          </w:tcPr>
          <w:p w14:paraId="4760410F" w14:textId="77777777" w:rsidR="00DF4660" w:rsidRPr="00F43CD8" w:rsidRDefault="00DF4660" w:rsidP="00E058BE">
            <w:pPr>
              <w:rPr>
                <w:sz w:val="24"/>
                <w:szCs w:val="24"/>
              </w:rPr>
            </w:pPr>
            <w:r w:rsidRPr="00F43CD8">
              <w:rPr>
                <w:sz w:val="24"/>
                <w:szCs w:val="24"/>
              </w:rPr>
              <w:t>National Alliance Securities, LLC</w:t>
            </w:r>
          </w:p>
        </w:tc>
      </w:tr>
      <w:tr w:rsidR="00DF4660" w:rsidRPr="00F43CD8" w14:paraId="72760FC3" w14:textId="77777777" w:rsidTr="00E058BE">
        <w:tc>
          <w:tcPr>
            <w:tcW w:w="4675" w:type="dxa"/>
          </w:tcPr>
          <w:p w14:paraId="49C564EE" w14:textId="77777777" w:rsidR="00DF4660" w:rsidRPr="00F43CD8" w:rsidRDefault="00DF4660" w:rsidP="00E058BE">
            <w:pPr>
              <w:rPr>
                <w:sz w:val="24"/>
                <w:szCs w:val="24"/>
              </w:rPr>
            </w:pPr>
            <w:r w:rsidRPr="00F43CD8">
              <w:rPr>
                <w:sz w:val="24"/>
                <w:szCs w:val="24"/>
              </w:rPr>
              <w:t>BNY Mellon Capital Markets, LLC</w:t>
            </w:r>
          </w:p>
        </w:tc>
        <w:tc>
          <w:tcPr>
            <w:tcW w:w="4675" w:type="dxa"/>
          </w:tcPr>
          <w:p w14:paraId="34BDDA8C" w14:textId="77777777" w:rsidR="00DF4660" w:rsidRPr="00F43CD8" w:rsidRDefault="00DF4660" w:rsidP="00E058BE">
            <w:pPr>
              <w:rPr>
                <w:sz w:val="24"/>
                <w:szCs w:val="24"/>
              </w:rPr>
            </w:pPr>
            <w:r w:rsidRPr="00F43CD8">
              <w:rPr>
                <w:sz w:val="24"/>
                <w:szCs w:val="24"/>
              </w:rPr>
              <w:t>National Bank of Canada Financial Inc.</w:t>
            </w:r>
          </w:p>
        </w:tc>
      </w:tr>
      <w:tr w:rsidR="00DF4660" w:rsidRPr="00F43CD8" w14:paraId="4054FD81" w14:textId="77777777" w:rsidTr="00E058BE">
        <w:tc>
          <w:tcPr>
            <w:tcW w:w="4675" w:type="dxa"/>
          </w:tcPr>
          <w:p w14:paraId="3647A30D" w14:textId="77777777" w:rsidR="00DF4660" w:rsidRPr="00F43CD8" w:rsidRDefault="00DF4660" w:rsidP="00E058BE">
            <w:pPr>
              <w:rPr>
                <w:sz w:val="24"/>
                <w:szCs w:val="24"/>
              </w:rPr>
            </w:pPr>
            <w:r w:rsidRPr="00F43CD8">
              <w:rPr>
                <w:sz w:val="24"/>
                <w:szCs w:val="24"/>
              </w:rPr>
              <w:t>Bradesco Securities, Inc.</w:t>
            </w:r>
          </w:p>
        </w:tc>
        <w:tc>
          <w:tcPr>
            <w:tcW w:w="4675" w:type="dxa"/>
          </w:tcPr>
          <w:p w14:paraId="75470342" w14:textId="77777777" w:rsidR="00DF4660" w:rsidRPr="00F43CD8" w:rsidRDefault="00DF4660" w:rsidP="00E058BE">
            <w:pPr>
              <w:rPr>
                <w:sz w:val="24"/>
                <w:szCs w:val="24"/>
              </w:rPr>
            </w:pPr>
            <w:r w:rsidRPr="00F43CD8">
              <w:rPr>
                <w:sz w:val="24"/>
                <w:szCs w:val="24"/>
              </w:rPr>
              <w:t>Natixis Securities Americas LLC</w:t>
            </w:r>
          </w:p>
        </w:tc>
      </w:tr>
      <w:tr w:rsidR="00DF4660" w:rsidRPr="00F43CD8" w14:paraId="6DC69D90" w14:textId="77777777" w:rsidTr="00E058BE">
        <w:tc>
          <w:tcPr>
            <w:tcW w:w="4675" w:type="dxa"/>
          </w:tcPr>
          <w:p w14:paraId="178E0187" w14:textId="77777777" w:rsidR="00DF4660" w:rsidRPr="00F43CD8" w:rsidRDefault="00DF4660" w:rsidP="00E058BE">
            <w:pPr>
              <w:rPr>
                <w:sz w:val="24"/>
                <w:szCs w:val="24"/>
              </w:rPr>
            </w:pPr>
            <w:proofErr w:type="spellStart"/>
            <w:r w:rsidRPr="00F43CD8">
              <w:rPr>
                <w:sz w:val="24"/>
                <w:szCs w:val="24"/>
              </w:rPr>
              <w:t>Brean</w:t>
            </w:r>
            <w:proofErr w:type="spellEnd"/>
            <w:r w:rsidRPr="00F43CD8">
              <w:rPr>
                <w:sz w:val="24"/>
                <w:szCs w:val="24"/>
              </w:rPr>
              <w:t xml:space="preserve"> Capital, LLC</w:t>
            </w:r>
          </w:p>
        </w:tc>
        <w:tc>
          <w:tcPr>
            <w:tcW w:w="4675" w:type="dxa"/>
          </w:tcPr>
          <w:p w14:paraId="3DDD4C58" w14:textId="77777777" w:rsidR="00DF4660" w:rsidRPr="00F43CD8" w:rsidRDefault="00DF4660" w:rsidP="00E058BE">
            <w:pPr>
              <w:rPr>
                <w:sz w:val="24"/>
                <w:szCs w:val="24"/>
              </w:rPr>
            </w:pPr>
            <w:r w:rsidRPr="00F43CD8">
              <w:rPr>
                <w:sz w:val="24"/>
                <w:szCs w:val="24"/>
              </w:rPr>
              <w:t xml:space="preserve">NatWest Markets Securities Inc. </w:t>
            </w:r>
          </w:p>
        </w:tc>
      </w:tr>
      <w:tr w:rsidR="00DF4660" w:rsidRPr="00F43CD8" w14:paraId="1F6ABA6B" w14:textId="77777777" w:rsidTr="00E058BE">
        <w:tc>
          <w:tcPr>
            <w:tcW w:w="4675" w:type="dxa"/>
          </w:tcPr>
          <w:p w14:paraId="77979618" w14:textId="77777777" w:rsidR="00DF4660" w:rsidRPr="00F43CD8" w:rsidRDefault="00DF4660" w:rsidP="00E058BE">
            <w:pPr>
              <w:rPr>
                <w:sz w:val="24"/>
                <w:szCs w:val="24"/>
              </w:rPr>
            </w:pPr>
            <w:r w:rsidRPr="00F43CD8">
              <w:rPr>
                <w:sz w:val="24"/>
                <w:szCs w:val="24"/>
              </w:rPr>
              <w:t>Brownstone Investment Group, LLC</w:t>
            </w:r>
          </w:p>
        </w:tc>
        <w:tc>
          <w:tcPr>
            <w:tcW w:w="4675" w:type="dxa"/>
          </w:tcPr>
          <w:p w14:paraId="0D660F6F" w14:textId="77777777" w:rsidR="00DF4660" w:rsidRPr="00F43CD8" w:rsidRDefault="00DF4660" w:rsidP="00E058BE">
            <w:pPr>
              <w:rPr>
                <w:sz w:val="24"/>
                <w:szCs w:val="24"/>
              </w:rPr>
            </w:pPr>
            <w:r w:rsidRPr="00F43CD8">
              <w:rPr>
                <w:sz w:val="24"/>
                <w:szCs w:val="24"/>
              </w:rPr>
              <w:t>Needham &amp; Company, LLC</w:t>
            </w:r>
          </w:p>
        </w:tc>
      </w:tr>
      <w:tr w:rsidR="00DF4660" w:rsidRPr="00F43CD8" w14:paraId="03DE28AD" w14:textId="77777777" w:rsidTr="00E058BE">
        <w:tc>
          <w:tcPr>
            <w:tcW w:w="4675" w:type="dxa"/>
          </w:tcPr>
          <w:p w14:paraId="5C7E4AF9" w14:textId="77777777" w:rsidR="00DF4660" w:rsidRPr="00F43CD8" w:rsidRDefault="00DF4660" w:rsidP="00E058BE">
            <w:pPr>
              <w:rPr>
                <w:sz w:val="24"/>
                <w:szCs w:val="24"/>
              </w:rPr>
            </w:pPr>
            <w:r w:rsidRPr="00F43CD8">
              <w:rPr>
                <w:sz w:val="24"/>
                <w:szCs w:val="24"/>
              </w:rPr>
              <w:t xml:space="preserve">BTG </w:t>
            </w:r>
            <w:proofErr w:type="spellStart"/>
            <w:r w:rsidRPr="00F43CD8">
              <w:rPr>
                <w:sz w:val="24"/>
                <w:szCs w:val="24"/>
              </w:rPr>
              <w:t>Pactual</w:t>
            </w:r>
            <w:proofErr w:type="spellEnd"/>
            <w:r w:rsidRPr="00F43CD8">
              <w:rPr>
                <w:sz w:val="24"/>
                <w:szCs w:val="24"/>
              </w:rPr>
              <w:t xml:space="preserve"> US Capital, LLC</w:t>
            </w:r>
          </w:p>
        </w:tc>
        <w:tc>
          <w:tcPr>
            <w:tcW w:w="4675" w:type="dxa"/>
          </w:tcPr>
          <w:p w14:paraId="740F23D2" w14:textId="77777777" w:rsidR="00DF4660" w:rsidRPr="00F43CD8" w:rsidRDefault="00DF4660" w:rsidP="00E058BE">
            <w:pPr>
              <w:rPr>
                <w:sz w:val="24"/>
                <w:szCs w:val="24"/>
              </w:rPr>
            </w:pPr>
            <w:proofErr w:type="spellStart"/>
            <w:r w:rsidRPr="00F43CD8">
              <w:rPr>
                <w:sz w:val="24"/>
                <w:szCs w:val="24"/>
              </w:rPr>
              <w:t>Neovest</w:t>
            </w:r>
            <w:proofErr w:type="spellEnd"/>
          </w:p>
        </w:tc>
      </w:tr>
      <w:tr w:rsidR="00DF4660" w:rsidRPr="00F43CD8" w14:paraId="5F5816C2" w14:textId="77777777" w:rsidTr="00E058BE">
        <w:tc>
          <w:tcPr>
            <w:tcW w:w="4675" w:type="dxa"/>
          </w:tcPr>
          <w:p w14:paraId="7CCB3236" w14:textId="77777777" w:rsidR="00DF4660" w:rsidRPr="00F43CD8" w:rsidRDefault="00DF4660" w:rsidP="00E058BE">
            <w:pPr>
              <w:rPr>
                <w:sz w:val="24"/>
                <w:szCs w:val="24"/>
              </w:rPr>
            </w:pPr>
            <w:r w:rsidRPr="00F43CD8">
              <w:rPr>
                <w:sz w:val="24"/>
                <w:szCs w:val="24"/>
              </w:rPr>
              <w:t>BTIG, LLC</w:t>
            </w:r>
          </w:p>
        </w:tc>
        <w:tc>
          <w:tcPr>
            <w:tcW w:w="4675" w:type="dxa"/>
          </w:tcPr>
          <w:p w14:paraId="1A5238C1" w14:textId="77777777" w:rsidR="00DF4660" w:rsidRPr="00F43CD8" w:rsidRDefault="00DF4660" w:rsidP="00E058BE">
            <w:pPr>
              <w:rPr>
                <w:sz w:val="24"/>
                <w:szCs w:val="24"/>
              </w:rPr>
            </w:pPr>
            <w:r w:rsidRPr="00F43CD8">
              <w:rPr>
                <w:sz w:val="24"/>
                <w:szCs w:val="24"/>
              </w:rPr>
              <w:t>Nomura Securities International, Inc.</w:t>
            </w:r>
          </w:p>
        </w:tc>
      </w:tr>
      <w:tr w:rsidR="00DF4660" w:rsidRPr="00F43CD8" w14:paraId="6DCA5DE6" w14:textId="77777777" w:rsidTr="00E058BE">
        <w:tc>
          <w:tcPr>
            <w:tcW w:w="4675" w:type="dxa"/>
          </w:tcPr>
          <w:p w14:paraId="516DF7BA" w14:textId="77777777" w:rsidR="00DF4660" w:rsidRPr="00F43CD8" w:rsidRDefault="00DF4660" w:rsidP="00E058BE">
            <w:pPr>
              <w:rPr>
                <w:sz w:val="24"/>
                <w:szCs w:val="24"/>
              </w:rPr>
            </w:pPr>
            <w:r w:rsidRPr="00F43CD8">
              <w:rPr>
                <w:sz w:val="24"/>
                <w:szCs w:val="24"/>
              </w:rPr>
              <w:t>C.L. King &amp; Associates, Inc.</w:t>
            </w:r>
          </w:p>
        </w:tc>
        <w:tc>
          <w:tcPr>
            <w:tcW w:w="4675" w:type="dxa"/>
          </w:tcPr>
          <w:p w14:paraId="02C57FF4" w14:textId="77777777" w:rsidR="00DF4660" w:rsidRPr="00F43CD8" w:rsidRDefault="00DF4660" w:rsidP="00E058BE">
            <w:pPr>
              <w:rPr>
                <w:sz w:val="24"/>
                <w:szCs w:val="24"/>
              </w:rPr>
            </w:pPr>
            <w:r w:rsidRPr="00F43CD8">
              <w:rPr>
                <w:sz w:val="24"/>
                <w:szCs w:val="24"/>
              </w:rPr>
              <w:t>Northern Trust Securities, Inc.</w:t>
            </w:r>
          </w:p>
        </w:tc>
      </w:tr>
      <w:tr w:rsidR="00DF4660" w:rsidRPr="00F43CD8" w14:paraId="6F329E8A" w14:textId="77777777" w:rsidTr="00E058BE">
        <w:tc>
          <w:tcPr>
            <w:tcW w:w="4675" w:type="dxa"/>
          </w:tcPr>
          <w:p w14:paraId="07812B7C" w14:textId="77777777" w:rsidR="00DF4660" w:rsidRPr="00F43CD8" w:rsidRDefault="00DF4660" w:rsidP="00E058BE">
            <w:pPr>
              <w:rPr>
                <w:sz w:val="24"/>
                <w:szCs w:val="24"/>
              </w:rPr>
            </w:pPr>
            <w:r w:rsidRPr="00F43CD8">
              <w:rPr>
                <w:sz w:val="24"/>
                <w:szCs w:val="24"/>
              </w:rPr>
              <w:t>Cabrera Capital Markets, LLC</w:t>
            </w:r>
          </w:p>
        </w:tc>
        <w:tc>
          <w:tcPr>
            <w:tcW w:w="4675" w:type="dxa"/>
          </w:tcPr>
          <w:p w14:paraId="016DDFE2" w14:textId="77777777" w:rsidR="00DF4660" w:rsidRPr="00F43CD8" w:rsidRDefault="00DF4660" w:rsidP="00E058BE">
            <w:pPr>
              <w:rPr>
                <w:sz w:val="24"/>
                <w:szCs w:val="24"/>
              </w:rPr>
            </w:pPr>
            <w:r w:rsidRPr="00F43CD8">
              <w:rPr>
                <w:sz w:val="24"/>
                <w:szCs w:val="24"/>
              </w:rPr>
              <w:t>Odeon Capital Group LLC</w:t>
            </w:r>
          </w:p>
        </w:tc>
      </w:tr>
      <w:tr w:rsidR="00DF4660" w:rsidRPr="00F43CD8" w14:paraId="249CF96A" w14:textId="77777777" w:rsidTr="00E058BE">
        <w:tc>
          <w:tcPr>
            <w:tcW w:w="4675" w:type="dxa"/>
          </w:tcPr>
          <w:p w14:paraId="03F9123E" w14:textId="77777777" w:rsidR="00DF4660" w:rsidRPr="00F43CD8" w:rsidRDefault="00DF4660" w:rsidP="00E058BE">
            <w:pPr>
              <w:rPr>
                <w:sz w:val="24"/>
                <w:szCs w:val="24"/>
              </w:rPr>
            </w:pPr>
            <w:r w:rsidRPr="00F43CD8">
              <w:rPr>
                <w:sz w:val="24"/>
                <w:szCs w:val="24"/>
              </w:rPr>
              <w:t>Cambridge International Securities, LLC</w:t>
            </w:r>
          </w:p>
        </w:tc>
        <w:tc>
          <w:tcPr>
            <w:tcW w:w="4675" w:type="dxa"/>
          </w:tcPr>
          <w:p w14:paraId="053D8827" w14:textId="77777777" w:rsidR="00DF4660" w:rsidRPr="00F43CD8" w:rsidRDefault="00DF4660" w:rsidP="00E058BE">
            <w:pPr>
              <w:rPr>
                <w:sz w:val="24"/>
                <w:szCs w:val="24"/>
              </w:rPr>
            </w:pPr>
            <w:r w:rsidRPr="00F43CD8">
              <w:rPr>
                <w:sz w:val="24"/>
                <w:szCs w:val="24"/>
              </w:rPr>
              <w:t>Oppenheimer &amp; Co. Inc.</w:t>
            </w:r>
          </w:p>
        </w:tc>
      </w:tr>
      <w:tr w:rsidR="00DF4660" w:rsidRPr="00F43CD8" w14:paraId="368A0570" w14:textId="77777777" w:rsidTr="00E058BE">
        <w:tc>
          <w:tcPr>
            <w:tcW w:w="4675" w:type="dxa"/>
          </w:tcPr>
          <w:p w14:paraId="351928A8" w14:textId="77777777" w:rsidR="00DF4660" w:rsidRPr="00F43CD8" w:rsidRDefault="00DF4660" w:rsidP="00E058BE">
            <w:pPr>
              <w:rPr>
                <w:sz w:val="24"/>
                <w:szCs w:val="24"/>
              </w:rPr>
            </w:pPr>
            <w:r w:rsidRPr="00F43CD8">
              <w:rPr>
                <w:sz w:val="24"/>
                <w:szCs w:val="24"/>
              </w:rPr>
              <w:t>Canaccord Genuity LLC</w:t>
            </w:r>
          </w:p>
        </w:tc>
        <w:tc>
          <w:tcPr>
            <w:tcW w:w="4675" w:type="dxa"/>
          </w:tcPr>
          <w:p w14:paraId="21398402" w14:textId="77777777" w:rsidR="00DF4660" w:rsidRPr="00F43CD8" w:rsidRDefault="00DF4660" w:rsidP="00E058BE">
            <w:pPr>
              <w:rPr>
                <w:sz w:val="24"/>
                <w:szCs w:val="24"/>
              </w:rPr>
            </w:pPr>
            <w:proofErr w:type="spellStart"/>
            <w:r w:rsidRPr="00F43CD8">
              <w:rPr>
                <w:sz w:val="24"/>
                <w:szCs w:val="24"/>
              </w:rPr>
              <w:t>Penserra</w:t>
            </w:r>
            <w:proofErr w:type="spellEnd"/>
            <w:r w:rsidRPr="00F43CD8">
              <w:rPr>
                <w:sz w:val="24"/>
                <w:szCs w:val="24"/>
              </w:rPr>
              <w:t xml:space="preserve"> Securities, LLC</w:t>
            </w:r>
          </w:p>
        </w:tc>
      </w:tr>
      <w:tr w:rsidR="00DF4660" w:rsidRPr="00F43CD8" w14:paraId="5B13AF40" w14:textId="77777777" w:rsidTr="00E058BE">
        <w:tc>
          <w:tcPr>
            <w:tcW w:w="4675" w:type="dxa"/>
          </w:tcPr>
          <w:p w14:paraId="67FF62D1" w14:textId="77777777" w:rsidR="00DF4660" w:rsidRPr="00F43CD8" w:rsidRDefault="00DF4660" w:rsidP="00E058BE">
            <w:pPr>
              <w:rPr>
                <w:sz w:val="24"/>
                <w:szCs w:val="24"/>
              </w:rPr>
            </w:pPr>
            <w:r w:rsidRPr="00F43CD8">
              <w:rPr>
                <w:sz w:val="24"/>
                <w:szCs w:val="24"/>
              </w:rPr>
              <w:t>Cantor Fitzgerald &amp; Co.</w:t>
            </w:r>
          </w:p>
        </w:tc>
        <w:tc>
          <w:tcPr>
            <w:tcW w:w="4675" w:type="dxa"/>
          </w:tcPr>
          <w:p w14:paraId="4B7ED08E" w14:textId="77777777" w:rsidR="00DF4660" w:rsidRPr="00F43CD8" w:rsidRDefault="00DF4660" w:rsidP="00E058BE">
            <w:pPr>
              <w:rPr>
                <w:sz w:val="24"/>
                <w:szCs w:val="24"/>
              </w:rPr>
            </w:pPr>
            <w:r w:rsidRPr="00F43CD8">
              <w:rPr>
                <w:sz w:val="24"/>
                <w:szCs w:val="24"/>
              </w:rPr>
              <w:t>Performance Trust Capital Partners LLC</w:t>
            </w:r>
          </w:p>
        </w:tc>
      </w:tr>
      <w:tr w:rsidR="00DF4660" w:rsidRPr="00F43CD8" w14:paraId="795EC4D8" w14:textId="77777777" w:rsidTr="00E058BE">
        <w:tc>
          <w:tcPr>
            <w:tcW w:w="4675" w:type="dxa"/>
          </w:tcPr>
          <w:p w14:paraId="1D371806" w14:textId="77777777" w:rsidR="00DF4660" w:rsidRPr="00F43CD8" w:rsidRDefault="00DF4660" w:rsidP="00E058BE">
            <w:pPr>
              <w:rPr>
                <w:sz w:val="24"/>
                <w:szCs w:val="24"/>
              </w:rPr>
            </w:pPr>
            <w:proofErr w:type="spellStart"/>
            <w:r w:rsidRPr="00F43CD8">
              <w:rPr>
                <w:sz w:val="24"/>
                <w:szCs w:val="24"/>
              </w:rPr>
              <w:t>CastleOak</w:t>
            </w:r>
            <w:proofErr w:type="spellEnd"/>
            <w:r w:rsidRPr="00F43CD8">
              <w:rPr>
                <w:sz w:val="24"/>
                <w:szCs w:val="24"/>
              </w:rPr>
              <w:t xml:space="preserve"> Securities, L.P.</w:t>
            </w:r>
          </w:p>
        </w:tc>
        <w:tc>
          <w:tcPr>
            <w:tcW w:w="4675" w:type="dxa"/>
          </w:tcPr>
          <w:p w14:paraId="65A155A0" w14:textId="77777777" w:rsidR="00DF4660" w:rsidRPr="00F43CD8" w:rsidRDefault="00DF4660" w:rsidP="00E058BE">
            <w:pPr>
              <w:rPr>
                <w:sz w:val="24"/>
                <w:szCs w:val="24"/>
              </w:rPr>
            </w:pPr>
            <w:r w:rsidRPr="00F43CD8">
              <w:rPr>
                <w:sz w:val="24"/>
                <w:szCs w:val="24"/>
              </w:rPr>
              <w:t>Pershing LLC</w:t>
            </w:r>
          </w:p>
        </w:tc>
      </w:tr>
      <w:tr w:rsidR="00DF4660" w:rsidRPr="00F43CD8" w14:paraId="2934E727" w14:textId="77777777" w:rsidTr="00E058BE">
        <w:tc>
          <w:tcPr>
            <w:tcW w:w="4675" w:type="dxa"/>
          </w:tcPr>
          <w:p w14:paraId="43B29DFC" w14:textId="77777777" w:rsidR="00DF4660" w:rsidRPr="00F43CD8" w:rsidRDefault="00DF4660" w:rsidP="00E058BE">
            <w:pPr>
              <w:rPr>
                <w:sz w:val="24"/>
                <w:szCs w:val="24"/>
              </w:rPr>
            </w:pPr>
            <w:r w:rsidRPr="00F43CD8">
              <w:rPr>
                <w:sz w:val="24"/>
                <w:szCs w:val="24"/>
              </w:rPr>
              <w:t>CIBC World Markets Corp.</w:t>
            </w:r>
          </w:p>
        </w:tc>
        <w:tc>
          <w:tcPr>
            <w:tcW w:w="4675" w:type="dxa"/>
          </w:tcPr>
          <w:p w14:paraId="3663AEC7" w14:textId="77777777" w:rsidR="00DF4660" w:rsidRPr="00F43CD8" w:rsidRDefault="00DF4660" w:rsidP="00E058BE">
            <w:pPr>
              <w:rPr>
                <w:sz w:val="24"/>
                <w:szCs w:val="24"/>
              </w:rPr>
            </w:pPr>
            <w:r w:rsidRPr="00604B44">
              <w:rPr>
                <w:sz w:val="24"/>
                <w:szCs w:val="24"/>
              </w:rPr>
              <w:t xml:space="preserve">Piper </w:t>
            </w:r>
            <w:proofErr w:type="spellStart"/>
            <w:r w:rsidRPr="00604B44">
              <w:rPr>
                <w:sz w:val="24"/>
                <w:szCs w:val="24"/>
              </w:rPr>
              <w:t>Jaffray</w:t>
            </w:r>
            <w:proofErr w:type="spellEnd"/>
            <w:r w:rsidRPr="00604B44">
              <w:rPr>
                <w:sz w:val="24"/>
                <w:szCs w:val="24"/>
              </w:rPr>
              <w:t xml:space="preserve"> &amp; Co.</w:t>
            </w:r>
          </w:p>
        </w:tc>
      </w:tr>
      <w:tr w:rsidR="00DF4660" w:rsidRPr="00F43CD8" w14:paraId="4BDF33D9" w14:textId="77777777" w:rsidTr="00E058BE">
        <w:tc>
          <w:tcPr>
            <w:tcW w:w="4675" w:type="dxa"/>
          </w:tcPr>
          <w:p w14:paraId="6D949B5B" w14:textId="77777777" w:rsidR="00DF4660" w:rsidRPr="00F43CD8" w:rsidRDefault="00DF4660" w:rsidP="00E058BE">
            <w:pPr>
              <w:rPr>
                <w:sz w:val="24"/>
                <w:szCs w:val="24"/>
              </w:rPr>
            </w:pPr>
            <w:r w:rsidRPr="00F43CD8">
              <w:rPr>
                <w:sz w:val="24"/>
                <w:szCs w:val="24"/>
              </w:rPr>
              <w:t>Citadel Securities LLC</w:t>
            </w:r>
          </w:p>
        </w:tc>
        <w:tc>
          <w:tcPr>
            <w:tcW w:w="4675" w:type="dxa"/>
          </w:tcPr>
          <w:p w14:paraId="7918EA3E" w14:textId="77777777" w:rsidR="00DF4660" w:rsidRPr="00F43CD8" w:rsidRDefault="00DF4660" w:rsidP="00E058BE">
            <w:pPr>
              <w:rPr>
                <w:sz w:val="24"/>
                <w:szCs w:val="24"/>
              </w:rPr>
            </w:pPr>
            <w:r w:rsidRPr="00604B44">
              <w:rPr>
                <w:sz w:val="24"/>
                <w:szCs w:val="24"/>
              </w:rPr>
              <w:t>PNC Capital Markets LLC</w:t>
            </w:r>
          </w:p>
        </w:tc>
      </w:tr>
      <w:tr w:rsidR="00DF4660" w:rsidRPr="00F43CD8" w14:paraId="621771CE" w14:textId="77777777" w:rsidTr="00E058BE">
        <w:tc>
          <w:tcPr>
            <w:tcW w:w="4675" w:type="dxa"/>
          </w:tcPr>
          <w:p w14:paraId="4CD4F841" w14:textId="77777777" w:rsidR="00DF4660" w:rsidRPr="00F43CD8" w:rsidRDefault="00DF4660" w:rsidP="00E058BE">
            <w:pPr>
              <w:rPr>
                <w:sz w:val="24"/>
                <w:szCs w:val="24"/>
              </w:rPr>
            </w:pPr>
            <w:r w:rsidRPr="00F43CD8">
              <w:rPr>
                <w:sz w:val="24"/>
                <w:szCs w:val="24"/>
              </w:rPr>
              <w:t>Citigroup Global Markets Inc.</w:t>
            </w:r>
          </w:p>
        </w:tc>
        <w:tc>
          <w:tcPr>
            <w:tcW w:w="4675" w:type="dxa"/>
          </w:tcPr>
          <w:p w14:paraId="2144A916" w14:textId="77777777" w:rsidR="00DF4660" w:rsidRPr="00F43CD8" w:rsidRDefault="00DF4660" w:rsidP="00E058BE">
            <w:pPr>
              <w:rPr>
                <w:sz w:val="24"/>
                <w:szCs w:val="24"/>
              </w:rPr>
            </w:pPr>
            <w:r w:rsidRPr="00604B44">
              <w:rPr>
                <w:sz w:val="24"/>
                <w:szCs w:val="24"/>
              </w:rPr>
              <w:t>Raymond James &amp; Associates, Inc.</w:t>
            </w:r>
          </w:p>
        </w:tc>
      </w:tr>
      <w:tr w:rsidR="00DF4660" w:rsidRPr="00F43CD8" w14:paraId="4117B609" w14:textId="77777777" w:rsidTr="00E058BE">
        <w:tc>
          <w:tcPr>
            <w:tcW w:w="4675" w:type="dxa"/>
          </w:tcPr>
          <w:p w14:paraId="3875CA3F" w14:textId="77777777" w:rsidR="00DF4660" w:rsidRPr="00F43CD8" w:rsidRDefault="00DF4660" w:rsidP="00E058BE">
            <w:pPr>
              <w:rPr>
                <w:sz w:val="24"/>
                <w:szCs w:val="24"/>
              </w:rPr>
            </w:pPr>
            <w:r w:rsidRPr="00F43CD8">
              <w:rPr>
                <w:sz w:val="24"/>
                <w:szCs w:val="24"/>
              </w:rPr>
              <w:t>Citizens Securities, Inc.</w:t>
            </w:r>
          </w:p>
        </w:tc>
        <w:tc>
          <w:tcPr>
            <w:tcW w:w="4675" w:type="dxa"/>
          </w:tcPr>
          <w:p w14:paraId="19DCA7A2" w14:textId="77777777" w:rsidR="00DF4660" w:rsidRPr="00F43CD8" w:rsidRDefault="00DF4660" w:rsidP="00E058BE">
            <w:pPr>
              <w:rPr>
                <w:sz w:val="24"/>
                <w:szCs w:val="24"/>
              </w:rPr>
            </w:pPr>
            <w:r w:rsidRPr="00604B44">
              <w:rPr>
                <w:sz w:val="24"/>
                <w:szCs w:val="24"/>
              </w:rPr>
              <w:t>RB International Markets (USA) LLC</w:t>
            </w:r>
          </w:p>
        </w:tc>
      </w:tr>
      <w:tr w:rsidR="00DF4660" w:rsidRPr="00F43CD8" w14:paraId="2882F376" w14:textId="77777777" w:rsidTr="00E058BE">
        <w:tc>
          <w:tcPr>
            <w:tcW w:w="4675" w:type="dxa"/>
          </w:tcPr>
          <w:p w14:paraId="45AF5C59" w14:textId="77777777" w:rsidR="00DF4660" w:rsidRPr="00F43CD8" w:rsidRDefault="00DF4660" w:rsidP="00E058BE">
            <w:pPr>
              <w:rPr>
                <w:sz w:val="24"/>
                <w:szCs w:val="24"/>
              </w:rPr>
            </w:pPr>
            <w:r w:rsidRPr="00F43CD8">
              <w:rPr>
                <w:sz w:val="24"/>
                <w:szCs w:val="24"/>
              </w:rPr>
              <w:t>CLSA Americas, LLC</w:t>
            </w:r>
          </w:p>
        </w:tc>
        <w:tc>
          <w:tcPr>
            <w:tcW w:w="4675" w:type="dxa"/>
          </w:tcPr>
          <w:p w14:paraId="73769D71" w14:textId="77777777" w:rsidR="00DF4660" w:rsidRPr="00F43CD8" w:rsidRDefault="00DF4660" w:rsidP="00E058BE">
            <w:pPr>
              <w:rPr>
                <w:sz w:val="24"/>
                <w:szCs w:val="24"/>
              </w:rPr>
            </w:pPr>
            <w:r w:rsidRPr="00604B44">
              <w:rPr>
                <w:sz w:val="24"/>
                <w:szCs w:val="24"/>
              </w:rPr>
              <w:t>RBC Barbados</w:t>
            </w:r>
          </w:p>
        </w:tc>
      </w:tr>
      <w:tr w:rsidR="00DF4660" w:rsidRPr="00F43CD8" w14:paraId="377439C9" w14:textId="77777777" w:rsidTr="00E058BE">
        <w:tc>
          <w:tcPr>
            <w:tcW w:w="4675" w:type="dxa"/>
          </w:tcPr>
          <w:p w14:paraId="42C2AFA3" w14:textId="77777777" w:rsidR="00DF4660" w:rsidRPr="00F43CD8" w:rsidRDefault="00DF4660" w:rsidP="00E058BE">
            <w:pPr>
              <w:rPr>
                <w:sz w:val="24"/>
                <w:szCs w:val="24"/>
              </w:rPr>
            </w:pPr>
            <w:proofErr w:type="spellStart"/>
            <w:r w:rsidRPr="00F43CD8">
              <w:rPr>
                <w:sz w:val="24"/>
                <w:szCs w:val="24"/>
              </w:rPr>
              <w:t>Commerz</w:t>
            </w:r>
            <w:proofErr w:type="spellEnd"/>
            <w:r w:rsidRPr="00F43CD8">
              <w:rPr>
                <w:sz w:val="24"/>
                <w:szCs w:val="24"/>
              </w:rPr>
              <w:t xml:space="preserve"> Markets LLC</w:t>
            </w:r>
          </w:p>
        </w:tc>
        <w:tc>
          <w:tcPr>
            <w:tcW w:w="4675" w:type="dxa"/>
          </w:tcPr>
          <w:p w14:paraId="41D8DBC7" w14:textId="77777777" w:rsidR="00DF4660" w:rsidRPr="00F43CD8" w:rsidRDefault="00DF4660" w:rsidP="00E058BE">
            <w:pPr>
              <w:rPr>
                <w:sz w:val="24"/>
                <w:szCs w:val="24"/>
              </w:rPr>
            </w:pPr>
            <w:r w:rsidRPr="00604B44">
              <w:rPr>
                <w:sz w:val="24"/>
                <w:szCs w:val="24"/>
              </w:rPr>
              <w:t>RBC Capital Markets, LLC</w:t>
            </w:r>
          </w:p>
        </w:tc>
      </w:tr>
      <w:tr w:rsidR="00DF4660" w:rsidRPr="00F43CD8" w14:paraId="534D4F9D" w14:textId="77777777" w:rsidTr="00E058BE">
        <w:tc>
          <w:tcPr>
            <w:tcW w:w="4675" w:type="dxa"/>
          </w:tcPr>
          <w:p w14:paraId="00D99B5B" w14:textId="77777777" w:rsidR="00DF4660" w:rsidRPr="00F43CD8" w:rsidRDefault="00DF4660" w:rsidP="00E058BE">
            <w:pPr>
              <w:rPr>
                <w:sz w:val="24"/>
                <w:szCs w:val="24"/>
              </w:rPr>
            </w:pPr>
            <w:r w:rsidRPr="00F43CD8">
              <w:rPr>
                <w:sz w:val="24"/>
                <w:szCs w:val="24"/>
              </w:rPr>
              <w:t>Commonwealth Australia Securities, LLC</w:t>
            </w:r>
          </w:p>
        </w:tc>
        <w:tc>
          <w:tcPr>
            <w:tcW w:w="4675" w:type="dxa"/>
          </w:tcPr>
          <w:p w14:paraId="3729A28A" w14:textId="77777777" w:rsidR="00DF4660" w:rsidRPr="00F43CD8" w:rsidRDefault="00DF4660" w:rsidP="00E058BE">
            <w:pPr>
              <w:rPr>
                <w:sz w:val="24"/>
                <w:szCs w:val="24"/>
              </w:rPr>
            </w:pPr>
            <w:r w:rsidRPr="00604B44">
              <w:rPr>
                <w:sz w:val="24"/>
                <w:szCs w:val="24"/>
              </w:rPr>
              <w:t>Robert W. Baird &amp; Company</w:t>
            </w:r>
          </w:p>
        </w:tc>
      </w:tr>
      <w:tr w:rsidR="00DF4660" w:rsidRPr="00F43CD8" w14:paraId="1782350F" w14:textId="77777777" w:rsidTr="00E058BE">
        <w:tc>
          <w:tcPr>
            <w:tcW w:w="4675" w:type="dxa"/>
          </w:tcPr>
          <w:p w14:paraId="57F42A47" w14:textId="77777777" w:rsidR="00DF4660" w:rsidRPr="00F43CD8" w:rsidRDefault="00DF4660" w:rsidP="00E058BE">
            <w:pPr>
              <w:rPr>
                <w:sz w:val="24"/>
                <w:szCs w:val="24"/>
              </w:rPr>
            </w:pPr>
            <w:r w:rsidRPr="00F43CD8">
              <w:rPr>
                <w:sz w:val="24"/>
                <w:szCs w:val="24"/>
              </w:rPr>
              <w:t>Cowen and Company, LLC</w:t>
            </w:r>
          </w:p>
        </w:tc>
        <w:tc>
          <w:tcPr>
            <w:tcW w:w="4675" w:type="dxa"/>
          </w:tcPr>
          <w:p w14:paraId="4D06C361" w14:textId="77777777" w:rsidR="00DF4660" w:rsidRPr="00F43CD8" w:rsidRDefault="00DF4660" w:rsidP="00E058BE">
            <w:pPr>
              <w:rPr>
                <w:sz w:val="24"/>
                <w:szCs w:val="24"/>
              </w:rPr>
            </w:pPr>
            <w:r w:rsidRPr="00604B44">
              <w:rPr>
                <w:sz w:val="24"/>
                <w:szCs w:val="24"/>
              </w:rPr>
              <w:t>ROC Capital</w:t>
            </w:r>
          </w:p>
        </w:tc>
      </w:tr>
      <w:tr w:rsidR="00DF4660" w:rsidRPr="00F43CD8" w14:paraId="7A9B008D" w14:textId="77777777" w:rsidTr="00E058BE">
        <w:tc>
          <w:tcPr>
            <w:tcW w:w="4675" w:type="dxa"/>
          </w:tcPr>
          <w:p w14:paraId="793A4B99" w14:textId="77777777" w:rsidR="00DF4660" w:rsidRPr="00F43CD8" w:rsidRDefault="00DF4660" w:rsidP="00E058BE">
            <w:pPr>
              <w:rPr>
                <w:sz w:val="24"/>
                <w:szCs w:val="24"/>
              </w:rPr>
            </w:pPr>
            <w:r w:rsidRPr="00F43CD8">
              <w:rPr>
                <w:sz w:val="24"/>
                <w:szCs w:val="24"/>
              </w:rPr>
              <w:t>Crédit Agricole Securities (USA) Inc.</w:t>
            </w:r>
          </w:p>
        </w:tc>
        <w:tc>
          <w:tcPr>
            <w:tcW w:w="4675" w:type="dxa"/>
          </w:tcPr>
          <w:p w14:paraId="4C7333E7" w14:textId="77777777" w:rsidR="00DF4660" w:rsidRPr="00F43CD8" w:rsidRDefault="00DF4660" w:rsidP="00E058BE">
            <w:pPr>
              <w:rPr>
                <w:sz w:val="24"/>
                <w:szCs w:val="24"/>
              </w:rPr>
            </w:pPr>
            <w:r w:rsidRPr="00604B44">
              <w:rPr>
                <w:sz w:val="24"/>
                <w:szCs w:val="24"/>
              </w:rPr>
              <w:t xml:space="preserve">R.W. </w:t>
            </w:r>
            <w:proofErr w:type="spellStart"/>
            <w:r w:rsidRPr="00604B44">
              <w:rPr>
                <w:sz w:val="24"/>
                <w:szCs w:val="24"/>
              </w:rPr>
              <w:t>Pressprich</w:t>
            </w:r>
            <w:proofErr w:type="spellEnd"/>
            <w:r w:rsidRPr="00604B44">
              <w:rPr>
                <w:sz w:val="24"/>
                <w:szCs w:val="24"/>
              </w:rPr>
              <w:t xml:space="preserve"> &amp; Co.</w:t>
            </w:r>
          </w:p>
        </w:tc>
      </w:tr>
      <w:tr w:rsidR="00DF4660" w:rsidRPr="00F43CD8" w14:paraId="334F09FF" w14:textId="77777777" w:rsidTr="00E058BE">
        <w:tc>
          <w:tcPr>
            <w:tcW w:w="4675" w:type="dxa"/>
          </w:tcPr>
          <w:p w14:paraId="2771270C" w14:textId="77777777" w:rsidR="00DF4660" w:rsidRPr="00F43CD8" w:rsidRDefault="00DF4660" w:rsidP="00E058BE">
            <w:pPr>
              <w:rPr>
                <w:sz w:val="24"/>
                <w:szCs w:val="24"/>
              </w:rPr>
            </w:pPr>
            <w:r w:rsidRPr="00F43CD8">
              <w:rPr>
                <w:sz w:val="24"/>
                <w:szCs w:val="24"/>
              </w:rPr>
              <w:t>Credit Suisse Securities (USA) LLC</w:t>
            </w:r>
          </w:p>
        </w:tc>
        <w:tc>
          <w:tcPr>
            <w:tcW w:w="4675" w:type="dxa"/>
          </w:tcPr>
          <w:p w14:paraId="3AF3BAB8" w14:textId="77777777" w:rsidR="00DF4660" w:rsidRPr="00F43CD8" w:rsidRDefault="00DF4660" w:rsidP="00E058BE">
            <w:pPr>
              <w:rPr>
                <w:sz w:val="24"/>
                <w:szCs w:val="24"/>
              </w:rPr>
            </w:pPr>
            <w:r w:rsidRPr="00604B44">
              <w:rPr>
                <w:sz w:val="24"/>
                <w:szCs w:val="24"/>
              </w:rPr>
              <w:t>Sandler O’Neill &amp; Partners, LP.</w:t>
            </w:r>
          </w:p>
        </w:tc>
      </w:tr>
      <w:tr w:rsidR="00DF4660" w:rsidRPr="00F43CD8" w14:paraId="1DF13BA3" w14:textId="77777777" w:rsidTr="00E058BE">
        <w:tc>
          <w:tcPr>
            <w:tcW w:w="4675" w:type="dxa"/>
          </w:tcPr>
          <w:p w14:paraId="7A3F5DB7" w14:textId="77777777" w:rsidR="00DF4660" w:rsidRPr="00F43CD8" w:rsidRDefault="00DF4660" w:rsidP="00E058BE">
            <w:pPr>
              <w:rPr>
                <w:sz w:val="24"/>
                <w:szCs w:val="24"/>
              </w:rPr>
            </w:pPr>
            <w:r w:rsidRPr="00F43CD8">
              <w:rPr>
                <w:sz w:val="24"/>
                <w:szCs w:val="24"/>
              </w:rPr>
              <w:t>Daiwa Capital Markets America</w:t>
            </w:r>
          </w:p>
        </w:tc>
        <w:tc>
          <w:tcPr>
            <w:tcW w:w="4675" w:type="dxa"/>
          </w:tcPr>
          <w:p w14:paraId="6BFB2CC4" w14:textId="77777777" w:rsidR="00DF4660" w:rsidRPr="00F43CD8" w:rsidRDefault="00DF4660" w:rsidP="00E058BE">
            <w:pPr>
              <w:rPr>
                <w:sz w:val="24"/>
                <w:szCs w:val="24"/>
              </w:rPr>
            </w:pPr>
            <w:r w:rsidRPr="00604B44">
              <w:rPr>
                <w:sz w:val="24"/>
                <w:szCs w:val="24"/>
              </w:rPr>
              <w:t>Santander Investment Securities Inc.</w:t>
            </w:r>
          </w:p>
        </w:tc>
      </w:tr>
      <w:tr w:rsidR="00DF4660" w:rsidRPr="00F43CD8" w14:paraId="29E6D88D" w14:textId="77777777" w:rsidTr="00E058BE">
        <w:tc>
          <w:tcPr>
            <w:tcW w:w="4675" w:type="dxa"/>
          </w:tcPr>
          <w:p w14:paraId="4A89AD5D" w14:textId="77777777" w:rsidR="00DF4660" w:rsidRPr="00F43CD8" w:rsidRDefault="00DF4660" w:rsidP="00E058BE">
            <w:pPr>
              <w:rPr>
                <w:sz w:val="24"/>
                <w:szCs w:val="24"/>
              </w:rPr>
            </w:pPr>
            <w:r w:rsidRPr="00F43CD8">
              <w:rPr>
                <w:sz w:val="24"/>
                <w:szCs w:val="24"/>
              </w:rPr>
              <w:t>DBS Bank Ltd.</w:t>
            </w:r>
          </w:p>
        </w:tc>
        <w:tc>
          <w:tcPr>
            <w:tcW w:w="4675" w:type="dxa"/>
          </w:tcPr>
          <w:p w14:paraId="1ECC97C3" w14:textId="77777777" w:rsidR="00DF4660" w:rsidRPr="00F43CD8" w:rsidRDefault="00DF4660" w:rsidP="00E058BE">
            <w:pPr>
              <w:rPr>
                <w:sz w:val="24"/>
                <w:szCs w:val="24"/>
              </w:rPr>
            </w:pPr>
            <w:r w:rsidRPr="00604B44">
              <w:rPr>
                <w:sz w:val="24"/>
                <w:szCs w:val="24"/>
              </w:rPr>
              <w:t>Sberbank CIB USA, Inc.</w:t>
            </w:r>
          </w:p>
        </w:tc>
      </w:tr>
      <w:tr w:rsidR="00DF4660" w:rsidRPr="00F43CD8" w14:paraId="7DB976D1" w14:textId="77777777" w:rsidTr="00E058BE">
        <w:tc>
          <w:tcPr>
            <w:tcW w:w="4675" w:type="dxa"/>
          </w:tcPr>
          <w:p w14:paraId="180E625B" w14:textId="77777777" w:rsidR="00DF4660" w:rsidRPr="00F43CD8" w:rsidRDefault="00DF4660" w:rsidP="00E058BE">
            <w:pPr>
              <w:rPr>
                <w:sz w:val="24"/>
                <w:szCs w:val="24"/>
              </w:rPr>
            </w:pPr>
            <w:r w:rsidRPr="00F43CD8">
              <w:rPr>
                <w:sz w:val="24"/>
                <w:szCs w:val="24"/>
              </w:rPr>
              <w:t>Deutsche Bank Securities Inc.</w:t>
            </w:r>
          </w:p>
        </w:tc>
        <w:tc>
          <w:tcPr>
            <w:tcW w:w="4675" w:type="dxa"/>
          </w:tcPr>
          <w:p w14:paraId="7ADFFB52" w14:textId="77777777" w:rsidR="00DF4660" w:rsidRPr="00F43CD8" w:rsidRDefault="00DF4660" w:rsidP="00E058BE">
            <w:pPr>
              <w:rPr>
                <w:sz w:val="24"/>
                <w:szCs w:val="24"/>
              </w:rPr>
            </w:pPr>
            <w:r w:rsidRPr="00604B44">
              <w:rPr>
                <w:sz w:val="24"/>
                <w:szCs w:val="24"/>
              </w:rPr>
              <w:t>Scotia Capital (USA) Inc.</w:t>
            </w:r>
          </w:p>
        </w:tc>
      </w:tr>
      <w:tr w:rsidR="00DF4660" w:rsidRPr="00F43CD8" w14:paraId="4F97A655" w14:textId="77777777" w:rsidTr="00E058BE">
        <w:tc>
          <w:tcPr>
            <w:tcW w:w="4675" w:type="dxa"/>
          </w:tcPr>
          <w:p w14:paraId="4F101DD8" w14:textId="77777777" w:rsidR="00DF4660" w:rsidRPr="00F43CD8" w:rsidRDefault="00DF4660" w:rsidP="00E058BE">
            <w:pPr>
              <w:rPr>
                <w:sz w:val="24"/>
                <w:szCs w:val="24"/>
              </w:rPr>
            </w:pPr>
            <w:r w:rsidRPr="00F43CD8">
              <w:rPr>
                <w:sz w:val="24"/>
                <w:szCs w:val="24"/>
              </w:rPr>
              <w:t>Drexel Hamilton, LLC</w:t>
            </w:r>
          </w:p>
        </w:tc>
        <w:tc>
          <w:tcPr>
            <w:tcW w:w="4675" w:type="dxa"/>
          </w:tcPr>
          <w:p w14:paraId="3855D34B" w14:textId="77777777" w:rsidR="00DF4660" w:rsidRPr="00604B44" w:rsidRDefault="00DF4660" w:rsidP="00E058BE">
            <w:pPr>
              <w:rPr>
                <w:sz w:val="24"/>
                <w:szCs w:val="24"/>
              </w:rPr>
            </w:pPr>
            <w:r w:rsidRPr="00604B44">
              <w:rPr>
                <w:sz w:val="24"/>
                <w:szCs w:val="24"/>
              </w:rPr>
              <w:t>Seaport Global Securities LLC</w:t>
            </w:r>
          </w:p>
        </w:tc>
      </w:tr>
      <w:tr w:rsidR="00DF4660" w:rsidRPr="00F43CD8" w14:paraId="0F47D1C2" w14:textId="77777777" w:rsidTr="00E058BE">
        <w:tc>
          <w:tcPr>
            <w:tcW w:w="4675" w:type="dxa"/>
          </w:tcPr>
          <w:p w14:paraId="07D4ECAA" w14:textId="77777777" w:rsidR="00DF4660" w:rsidRPr="00F43CD8" w:rsidRDefault="00DF4660" w:rsidP="00E058BE">
            <w:pPr>
              <w:rPr>
                <w:sz w:val="24"/>
                <w:szCs w:val="24"/>
              </w:rPr>
            </w:pPr>
            <w:r w:rsidRPr="00F43CD8">
              <w:rPr>
                <w:sz w:val="24"/>
                <w:szCs w:val="24"/>
              </w:rPr>
              <w:t>ED&amp;F Man Capital Markets Inc.</w:t>
            </w:r>
          </w:p>
        </w:tc>
        <w:tc>
          <w:tcPr>
            <w:tcW w:w="4675" w:type="dxa"/>
          </w:tcPr>
          <w:p w14:paraId="0E87EACF" w14:textId="77777777" w:rsidR="00DF4660" w:rsidRPr="00604B44" w:rsidRDefault="00DF4660" w:rsidP="00E058BE">
            <w:pPr>
              <w:rPr>
                <w:sz w:val="24"/>
                <w:szCs w:val="24"/>
              </w:rPr>
            </w:pPr>
            <w:proofErr w:type="spellStart"/>
            <w:r w:rsidRPr="00604B44">
              <w:rPr>
                <w:sz w:val="24"/>
                <w:szCs w:val="24"/>
              </w:rPr>
              <w:t>Seminario</w:t>
            </w:r>
            <w:proofErr w:type="spellEnd"/>
            <w:r w:rsidRPr="00604B44">
              <w:rPr>
                <w:sz w:val="24"/>
                <w:szCs w:val="24"/>
              </w:rPr>
              <w:t xml:space="preserve"> y Cia SAB</w:t>
            </w:r>
          </w:p>
        </w:tc>
      </w:tr>
      <w:tr w:rsidR="00DF4660" w:rsidRPr="00F43CD8" w14:paraId="1CD2876F" w14:textId="77777777" w:rsidTr="00E058BE">
        <w:tc>
          <w:tcPr>
            <w:tcW w:w="4675" w:type="dxa"/>
          </w:tcPr>
          <w:p w14:paraId="5146A8B0" w14:textId="77777777" w:rsidR="00DF4660" w:rsidRPr="00F43CD8" w:rsidRDefault="00DF4660" w:rsidP="00E058BE">
            <w:pPr>
              <w:rPr>
                <w:sz w:val="24"/>
                <w:szCs w:val="24"/>
              </w:rPr>
            </w:pPr>
            <w:r w:rsidRPr="00F43CD8">
              <w:rPr>
                <w:sz w:val="24"/>
                <w:szCs w:val="24"/>
              </w:rPr>
              <w:t>Evercore Group L.L.C (Evercore ISI)</w:t>
            </w:r>
          </w:p>
        </w:tc>
        <w:tc>
          <w:tcPr>
            <w:tcW w:w="4675" w:type="dxa"/>
          </w:tcPr>
          <w:p w14:paraId="1EC23E08" w14:textId="77777777" w:rsidR="00DF4660" w:rsidRPr="00604B44" w:rsidRDefault="00DF4660" w:rsidP="00E058BE">
            <w:pPr>
              <w:rPr>
                <w:sz w:val="24"/>
                <w:szCs w:val="24"/>
              </w:rPr>
            </w:pPr>
            <w:r w:rsidRPr="00604B44">
              <w:rPr>
                <w:sz w:val="24"/>
                <w:szCs w:val="24"/>
              </w:rPr>
              <w:t>SG Americas Securities, LLC</w:t>
            </w:r>
          </w:p>
        </w:tc>
      </w:tr>
      <w:tr w:rsidR="00DF4660" w:rsidRPr="00F43CD8" w14:paraId="5E5902B6" w14:textId="77777777" w:rsidTr="00E058BE">
        <w:tc>
          <w:tcPr>
            <w:tcW w:w="4675" w:type="dxa"/>
          </w:tcPr>
          <w:p w14:paraId="53A26E96" w14:textId="77777777" w:rsidR="00DF4660" w:rsidRPr="00F43CD8" w:rsidRDefault="00DF4660" w:rsidP="00E058BE">
            <w:pPr>
              <w:rPr>
                <w:sz w:val="24"/>
                <w:szCs w:val="24"/>
              </w:rPr>
            </w:pPr>
            <w:r w:rsidRPr="00F43CD8">
              <w:rPr>
                <w:sz w:val="24"/>
                <w:szCs w:val="24"/>
              </w:rPr>
              <w:t>Fifth Third Securities, Inc.</w:t>
            </w:r>
          </w:p>
        </w:tc>
        <w:tc>
          <w:tcPr>
            <w:tcW w:w="4675" w:type="dxa"/>
          </w:tcPr>
          <w:p w14:paraId="1979525A" w14:textId="77777777" w:rsidR="00DF4660" w:rsidRPr="00604B44" w:rsidRDefault="00DF4660" w:rsidP="00E058BE">
            <w:pPr>
              <w:rPr>
                <w:sz w:val="24"/>
                <w:szCs w:val="24"/>
              </w:rPr>
            </w:pPr>
            <w:r w:rsidRPr="00604B44">
              <w:rPr>
                <w:sz w:val="24"/>
                <w:szCs w:val="24"/>
              </w:rPr>
              <w:t>Shellpoint Capital LLC</w:t>
            </w:r>
          </w:p>
        </w:tc>
      </w:tr>
      <w:tr w:rsidR="00DF4660" w:rsidRPr="00F43CD8" w14:paraId="6B9C3593" w14:textId="77777777" w:rsidTr="00E058BE">
        <w:tc>
          <w:tcPr>
            <w:tcW w:w="4675" w:type="dxa"/>
          </w:tcPr>
          <w:p w14:paraId="17C9ECEA" w14:textId="77777777" w:rsidR="00DF4660" w:rsidRPr="00F43CD8" w:rsidRDefault="00DF4660" w:rsidP="00E058BE">
            <w:pPr>
              <w:rPr>
                <w:sz w:val="24"/>
                <w:szCs w:val="24"/>
              </w:rPr>
            </w:pPr>
            <w:r w:rsidRPr="00F43CD8">
              <w:rPr>
                <w:sz w:val="24"/>
                <w:szCs w:val="24"/>
              </w:rPr>
              <w:t>FYNSA (</w:t>
            </w:r>
            <w:proofErr w:type="spellStart"/>
            <w:r w:rsidRPr="00F43CD8">
              <w:rPr>
                <w:sz w:val="24"/>
                <w:szCs w:val="24"/>
              </w:rPr>
              <w:t>Finanzas</w:t>
            </w:r>
            <w:proofErr w:type="spellEnd"/>
            <w:r w:rsidRPr="00F43CD8">
              <w:rPr>
                <w:sz w:val="24"/>
                <w:szCs w:val="24"/>
              </w:rPr>
              <w:t xml:space="preserve"> y </w:t>
            </w:r>
            <w:proofErr w:type="spellStart"/>
            <w:r w:rsidRPr="00F43CD8">
              <w:rPr>
                <w:sz w:val="24"/>
                <w:szCs w:val="24"/>
              </w:rPr>
              <w:t>Negocios</w:t>
            </w:r>
            <w:proofErr w:type="spellEnd"/>
            <w:r w:rsidRPr="00F43CD8">
              <w:rPr>
                <w:sz w:val="24"/>
                <w:szCs w:val="24"/>
              </w:rPr>
              <w:t>)</w:t>
            </w:r>
          </w:p>
        </w:tc>
        <w:tc>
          <w:tcPr>
            <w:tcW w:w="4675" w:type="dxa"/>
          </w:tcPr>
          <w:p w14:paraId="38929CF5" w14:textId="77777777" w:rsidR="00DF4660" w:rsidRPr="00604B44" w:rsidRDefault="00DF4660" w:rsidP="00E058BE">
            <w:pPr>
              <w:rPr>
                <w:sz w:val="24"/>
                <w:szCs w:val="24"/>
              </w:rPr>
            </w:pPr>
            <w:r w:rsidRPr="00604B44">
              <w:rPr>
                <w:sz w:val="24"/>
                <w:szCs w:val="24"/>
              </w:rPr>
              <w:t>SMBC Nikko Securities America, Inc.</w:t>
            </w:r>
          </w:p>
        </w:tc>
      </w:tr>
      <w:tr w:rsidR="00DF4660" w:rsidRPr="00F43CD8" w14:paraId="05E3A806" w14:textId="77777777" w:rsidTr="00E058BE">
        <w:tc>
          <w:tcPr>
            <w:tcW w:w="4675" w:type="dxa"/>
          </w:tcPr>
          <w:p w14:paraId="62C028AF" w14:textId="77777777" w:rsidR="00DF4660" w:rsidRPr="00F43CD8" w:rsidRDefault="00DF4660" w:rsidP="00E058BE">
            <w:pPr>
              <w:rPr>
                <w:sz w:val="24"/>
                <w:szCs w:val="24"/>
              </w:rPr>
            </w:pPr>
            <w:r w:rsidRPr="00F43CD8">
              <w:rPr>
                <w:sz w:val="24"/>
                <w:szCs w:val="24"/>
              </w:rPr>
              <w:t>FHN Financial Securities Corp</w:t>
            </w:r>
          </w:p>
        </w:tc>
        <w:tc>
          <w:tcPr>
            <w:tcW w:w="4675" w:type="dxa"/>
          </w:tcPr>
          <w:p w14:paraId="00E5AB27" w14:textId="77777777" w:rsidR="00DF4660" w:rsidRPr="00604B44" w:rsidRDefault="00DF4660" w:rsidP="00E058BE">
            <w:pPr>
              <w:rPr>
                <w:sz w:val="24"/>
                <w:szCs w:val="24"/>
              </w:rPr>
            </w:pPr>
            <w:r w:rsidRPr="00604B44">
              <w:rPr>
                <w:sz w:val="24"/>
                <w:szCs w:val="24"/>
              </w:rPr>
              <w:t>Standard Chartered Securities North America LLC</w:t>
            </w:r>
          </w:p>
        </w:tc>
      </w:tr>
      <w:tr w:rsidR="00DF4660" w:rsidRPr="00F43CD8" w14:paraId="41398FE3" w14:textId="77777777" w:rsidTr="00E058BE">
        <w:tc>
          <w:tcPr>
            <w:tcW w:w="4675" w:type="dxa"/>
          </w:tcPr>
          <w:p w14:paraId="09B1B225" w14:textId="77777777" w:rsidR="00DF4660" w:rsidRPr="00F43CD8" w:rsidRDefault="00DF4660" w:rsidP="00E058BE">
            <w:pPr>
              <w:rPr>
                <w:sz w:val="24"/>
                <w:szCs w:val="24"/>
              </w:rPr>
            </w:pPr>
            <w:proofErr w:type="spellStart"/>
            <w:r w:rsidRPr="00F43CD8">
              <w:rPr>
                <w:sz w:val="24"/>
                <w:szCs w:val="24"/>
              </w:rPr>
              <w:t>Gazprombank</w:t>
            </w:r>
            <w:proofErr w:type="spellEnd"/>
          </w:p>
        </w:tc>
        <w:tc>
          <w:tcPr>
            <w:tcW w:w="4675" w:type="dxa"/>
          </w:tcPr>
          <w:p w14:paraId="010BEAC1" w14:textId="77777777" w:rsidR="00DF4660" w:rsidRPr="00604B44" w:rsidRDefault="00DF4660" w:rsidP="00E058BE">
            <w:pPr>
              <w:rPr>
                <w:sz w:val="24"/>
                <w:szCs w:val="24"/>
              </w:rPr>
            </w:pPr>
            <w:r w:rsidRPr="00604B44">
              <w:rPr>
                <w:sz w:val="24"/>
                <w:szCs w:val="24"/>
              </w:rPr>
              <w:t>State Street Global Markets, LLC</w:t>
            </w:r>
          </w:p>
        </w:tc>
      </w:tr>
      <w:tr w:rsidR="00DF4660" w:rsidRPr="00F43CD8" w14:paraId="3C8BDBD4" w14:textId="77777777" w:rsidTr="00E058BE">
        <w:tc>
          <w:tcPr>
            <w:tcW w:w="4675" w:type="dxa"/>
          </w:tcPr>
          <w:p w14:paraId="5851D615" w14:textId="77777777" w:rsidR="00DF4660" w:rsidRPr="00F43CD8" w:rsidRDefault="00DF4660" w:rsidP="00E058BE">
            <w:pPr>
              <w:rPr>
                <w:sz w:val="24"/>
                <w:szCs w:val="24"/>
              </w:rPr>
            </w:pPr>
            <w:r w:rsidRPr="00F43CD8">
              <w:rPr>
                <w:sz w:val="24"/>
                <w:szCs w:val="24"/>
              </w:rPr>
              <w:t>Goldman Sachs &amp; Co. LLC</w:t>
            </w:r>
          </w:p>
        </w:tc>
        <w:tc>
          <w:tcPr>
            <w:tcW w:w="4675" w:type="dxa"/>
          </w:tcPr>
          <w:p w14:paraId="568EBA3F" w14:textId="77777777" w:rsidR="00DF4660" w:rsidRPr="00604B44" w:rsidRDefault="00DF4660" w:rsidP="00E058BE">
            <w:pPr>
              <w:rPr>
                <w:sz w:val="24"/>
                <w:szCs w:val="24"/>
              </w:rPr>
            </w:pPr>
            <w:r w:rsidRPr="00604B44">
              <w:rPr>
                <w:sz w:val="24"/>
                <w:szCs w:val="24"/>
              </w:rPr>
              <w:t>Stephens Inc.</w:t>
            </w:r>
          </w:p>
        </w:tc>
      </w:tr>
      <w:tr w:rsidR="00DF4660" w:rsidRPr="00F43CD8" w14:paraId="471418CD" w14:textId="77777777" w:rsidTr="00E058BE">
        <w:tc>
          <w:tcPr>
            <w:tcW w:w="4675" w:type="dxa"/>
          </w:tcPr>
          <w:p w14:paraId="5C7D1ECB" w14:textId="77777777" w:rsidR="00DF4660" w:rsidRPr="00F43CD8" w:rsidRDefault="00DF4660" w:rsidP="00E058BE">
            <w:pPr>
              <w:rPr>
                <w:sz w:val="24"/>
                <w:szCs w:val="24"/>
              </w:rPr>
            </w:pPr>
            <w:proofErr w:type="spellStart"/>
            <w:r w:rsidRPr="00F43CD8">
              <w:rPr>
                <w:sz w:val="24"/>
                <w:szCs w:val="24"/>
              </w:rPr>
              <w:t>GreensLedge</w:t>
            </w:r>
            <w:proofErr w:type="spellEnd"/>
            <w:r w:rsidRPr="00F43CD8">
              <w:rPr>
                <w:sz w:val="24"/>
                <w:szCs w:val="24"/>
              </w:rPr>
              <w:t xml:space="preserve"> Capital Markets LLC</w:t>
            </w:r>
          </w:p>
        </w:tc>
        <w:tc>
          <w:tcPr>
            <w:tcW w:w="4675" w:type="dxa"/>
          </w:tcPr>
          <w:p w14:paraId="4713363A" w14:textId="77777777" w:rsidR="00DF4660" w:rsidRPr="00604B44" w:rsidRDefault="00DF4660" w:rsidP="00E058BE">
            <w:pPr>
              <w:rPr>
                <w:sz w:val="24"/>
                <w:szCs w:val="24"/>
              </w:rPr>
            </w:pPr>
            <w:r w:rsidRPr="00604B44">
              <w:rPr>
                <w:sz w:val="24"/>
                <w:szCs w:val="24"/>
              </w:rPr>
              <w:t>Stifel, Nicolaus &amp; Company, Incorporated</w:t>
            </w:r>
          </w:p>
        </w:tc>
      </w:tr>
      <w:tr w:rsidR="00DF4660" w:rsidRPr="00F43CD8" w14:paraId="587BB48E" w14:textId="77777777" w:rsidTr="00E058BE">
        <w:tc>
          <w:tcPr>
            <w:tcW w:w="4675" w:type="dxa"/>
          </w:tcPr>
          <w:p w14:paraId="6908401F" w14:textId="77777777" w:rsidR="00DF4660" w:rsidRPr="00F43CD8" w:rsidRDefault="00DF4660" w:rsidP="00E058BE">
            <w:pPr>
              <w:rPr>
                <w:sz w:val="24"/>
                <w:szCs w:val="24"/>
              </w:rPr>
            </w:pPr>
            <w:r w:rsidRPr="00F43CD8">
              <w:rPr>
                <w:sz w:val="24"/>
                <w:szCs w:val="24"/>
              </w:rPr>
              <w:t>Guggenheim Securities LLC</w:t>
            </w:r>
          </w:p>
        </w:tc>
        <w:tc>
          <w:tcPr>
            <w:tcW w:w="4675" w:type="dxa"/>
          </w:tcPr>
          <w:p w14:paraId="7C90C252" w14:textId="77777777" w:rsidR="00DF4660" w:rsidRPr="00604B44" w:rsidRDefault="00DF4660" w:rsidP="00E058BE">
            <w:pPr>
              <w:rPr>
                <w:sz w:val="24"/>
                <w:szCs w:val="24"/>
              </w:rPr>
            </w:pPr>
            <w:proofErr w:type="spellStart"/>
            <w:r w:rsidRPr="00604B44">
              <w:rPr>
                <w:sz w:val="24"/>
                <w:szCs w:val="24"/>
              </w:rPr>
              <w:t>StoneX</w:t>
            </w:r>
            <w:proofErr w:type="spellEnd"/>
          </w:p>
        </w:tc>
      </w:tr>
      <w:tr w:rsidR="00DF4660" w:rsidRPr="00F43CD8" w14:paraId="7AEE5FAE" w14:textId="77777777" w:rsidTr="00E058BE">
        <w:tc>
          <w:tcPr>
            <w:tcW w:w="4675" w:type="dxa"/>
          </w:tcPr>
          <w:p w14:paraId="1CCA93AA" w14:textId="77777777" w:rsidR="00DF4660" w:rsidRPr="00F43CD8" w:rsidRDefault="00DF4660" w:rsidP="00E058BE">
            <w:pPr>
              <w:rPr>
                <w:sz w:val="24"/>
                <w:szCs w:val="24"/>
              </w:rPr>
            </w:pPr>
            <w:r w:rsidRPr="00F43CD8">
              <w:rPr>
                <w:sz w:val="24"/>
                <w:szCs w:val="24"/>
              </w:rPr>
              <w:t>Haitong Securities USA LLC</w:t>
            </w:r>
          </w:p>
        </w:tc>
        <w:tc>
          <w:tcPr>
            <w:tcW w:w="4675" w:type="dxa"/>
          </w:tcPr>
          <w:p w14:paraId="228F9FB3" w14:textId="77777777" w:rsidR="00DF4660" w:rsidRPr="00604B44" w:rsidRDefault="00DF4660" w:rsidP="00E058BE">
            <w:pPr>
              <w:rPr>
                <w:sz w:val="24"/>
                <w:szCs w:val="24"/>
              </w:rPr>
            </w:pPr>
            <w:proofErr w:type="spellStart"/>
            <w:r w:rsidRPr="00604B44">
              <w:rPr>
                <w:sz w:val="24"/>
                <w:szCs w:val="24"/>
              </w:rPr>
              <w:t>Stormhabour</w:t>
            </w:r>
            <w:proofErr w:type="spellEnd"/>
            <w:r w:rsidRPr="00604B44">
              <w:rPr>
                <w:sz w:val="24"/>
                <w:szCs w:val="24"/>
              </w:rPr>
              <w:t xml:space="preserve"> Securities LP</w:t>
            </w:r>
          </w:p>
        </w:tc>
      </w:tr>
      <w:tr w:rsidR="00DF4660" w:rsidRPr="00F43CD8" w14:paraId="57D6EEE1" w14:textId="77777777" w:rsidTr="00E058BE">
        <w:tc>
          <w:tcPr>
            <w:tcW w:w="4675" w:type="dxa"/>
          </w:tcPr>
          <w:p w14:paraId="25D98542" w14:textId="77777777" w:rsidR="00DF4660" w:rsidRPr="00F43CD8" w:rsidRDefault="00DF4660" w:rsidP="00E058BE">
            <w:pPr>
              <w:rPr>
                <w:sz w:val="24"/>
                <w:szCs w:val="24"/>
              </w:rPr>
            </w:pPr>
            <w:r w:rsidRPr="00F43CD8">
              <w:rPr>
                <w:sz w:val="24"/>
                <w:szCs w:val="24"/>
              </w:rPr>
              <w:t>Hilltop Securities Inc.</w:t>
            </w:r>
          </w:p>
        </w:tc>
        <w:tc>
          <w:tcPr>
            <w:tcW w:w="4675" w:type="dxa"/>
          </w:tcPr>
          <w:p w14:paraId="24D9EFF2" w14:textId="77777777" w:rsidR="00DF4660" w:rsidRPr="00604B44" w:rsidRDefault="00DF4660" w:rsidP="00E058BE">
            <w:pPr>
              <w:rPr>
                <w:sz w:val="24"/>
                <w:szCs w:val="24"/>
              </w:rPr>
            </w:pPr>
            <w:proofErr w:type="spellStart"/>
            <w:r w:rsidRPr="00604B44">
              <w:rPr>
                <w:sz w:val="24"/>
                <w:szCs w:val="24"/>
              </w:rPr>
              <w:t>SumRidge</w:t>
            </w:r>
            <w:proofErr w:type="spellEnd"/>
            <w:r w:rsidRPr="00604B44">
              <w:rPr>
                <w:sz w:val="24"/>
                <w:szCs w:val="24"/>
              </w:rPr>
              <w:t xml:space="preserve"> Partners, LLC</w:t>
            </w:r>
          </w:p>
        </w:tc>
      </w:tr>
      <w:tr w:rsidR="00DF4660" w:rsidRPr="00F43CD8" w14:paraId="2215E24D" w14:textId="77777777" w:rsidTr="00E058BE">
        <w:tc>
          <w:tcPr>
            <w:tcW w:w="4675" w:type="dxa"/>
          </w:tcPr>
          <w:p w14:paraId="6B971104" w14:textId="77777777" w:rsidR="00DF4660" w:rsidRPr="00F43CD8" w:rsidRDefault="00DF4660" w:rsidP="00E058BE">
            <w:pPr>
              <w:rPr>
                <w:sz w:val="24"/>
                <w:szCs w:val="24"/>
              </w:rPr>
            </w:pPr>
            <w:r w:rsidRPr="00F43CD8">
              <w:rPr>
                <w:sz w:val="24"/>
                <w:szCs w:val="24"/>
              </w:rPr>
              <w:t>HSBC Securities (USA) Inc.</w:t>
            </w:r>
          </w:p>
        </w:tc>
        <w:tc>
          <w:tcPr>
            <w:tcW w:w="4675" w:type="dxa"/>
          </w:tcPr>
          <w:p w14:paraId="1D74BA25" w14:textId="77777777" w:rsidR="00DF4660" w:rsidRPr="00604B44" w:rsidRDefault="00DF4660" w:rsidP="00E058BE">
            <w:pPr>
              <w:rPr>
                <w:sz w:val="24"/>
                <w:szCs w:val="24"/>
              </w:rPr>
            </w:pPr>
            <w:r w:rsidRPr="00604B44">
              <w:rPr>
                <w:sz w:val="24"/>
                <w:szCs w:val="24"/>
              </w:rPr>
              <w:t>Susquehanna Financial Group, LLLP</w:t>
            </w:r>
          </w:p>
        </w:tc>
      </w:tr>
      <w:tr w:rsidR="00DF4660" w:rsidRPr="00F43CD8" w14:paraId="3EAB973B" w14:textId="77777777" w:rsidTr="00E058BE">
        <w:tc>
          <w:tcPr>
            <w:tcW w:w="4675" w:type="dxa"/>
          </w:tcPr>
          <w:p w14:paraId="3C977B0A" w14:textId="77777777" w:rsidR="00DF4660" w:rsidRPr="00F43CD8" w:rsidRDefault="00DF4660" w:rsidP="00E058BE">
            <w:pPr>
              <w:rPr>
                <w:sz w:val="24"/>
                <w:szCs w:val="24"/>
              </w:rPr>
            </w:pPr>
            <w:r w:rsidRPr="00F43CD8">
              <w:rPr>
                <w:sz w:val="24"/>
                <w:szCs w:val="24"/>
              </w:rPr>
              <w:t>Hunt Financial Securities, LLC</w:t>
            </w:r>
          </w:p>
        </w:tc>
        <w:tc>
          <w:tcPr>
            <w:tcW w:w="4675" w:type="dxa"/>
          </w:tcPr>
          <w:p w14:paraId="1A580B06" w14:textId="77777777" w:rsidR="00DF4660" w:rsidRPr="00604B44" w:rsidRDefault="00DF4660" w:rsidP="00E058BE">
            <w:pPr>
              <w:rPr>
                <w:sz w:val="24"/>
                <w:szCs w:val="24"/>
              </w:rPr>
            </w:pPr>
            <w:r w:rsidRPr="00604B44">
              <w:rPr>
                <w:sz w:val="24"/>
                <w:szCs w:val="24"/>
              </w:rPr>
              <w:t>SWS (Siebert Williams Shank &amp; Co., LLC)</w:t>
            </w:r>
          </w:p>
        </w:tc>
      </w:tr>
      <w:tr w:rsidR="00DF4660" w:rsidRPr="00F43CD8" w14:paraId="12988308" w14:textId="77777777" w:rsidTr="00E058BE">
        <w:tc>
          <w:tcPr>
            <w:tcW w:w="4675" w:type="dxa"/>
          </w:tcPr>
          <w:p w14:paraId="57D59929" w14:textId="77777777" w:rsidR="00DF4660" w:rsidRPr="00F43CD8" w:rsidRDefault="00DF4660" w:rsidP="00E058BE">
            <w:pPr>
              <w:rPr>
                <w:sz w:val="24"/>
                <w:szCs w:val="24"/>
              </w:rPr>
            </w:pPr>
            <w:r w:rsidRPr="00F43CD8">
              <w:rPr>
                <w:sz w:val="24"/>
                <w:szCs w:val="24"/>
              </w:rPr>
              <w:t>Imperial Capital, LLC</w:t>
            </w:r>
          </w:p>
        </w:tc>
        <w:tc>
          <w:tcPr>
            <w:tcW w:w="4675" w:type="dxa"/>
          </w:tcPr>
          <w:p w14:paraId="386194DC" w14:textId="77777777" w:rsidR="00DF4660" w:rsidRPr="00604B44" w:rsidRDefault="00DF4660" w:rsidP="00E058BE">
            <w:pPr>
              <w:rPr>
                <w:sz w:val="24"/>
                <w:szCs w:val="24"/>
              </w:rPr>
            </w:pPr>
            <w:r w:rsidRPr="00604B44">
              <w:rPr>
                <w:sz w:val="24"/>
                <w:szCs w:val="24"/>
              </w:rPr>
              <w:t>TD Securities (USA) LLC</w:t>
            </w:r>
          </w:p>
        </w:tc>
      </w:tr>
      <w:tr w:rsidR="00DF4660" w:rsidRPr="00F43CD8" w14:paraId="435B2DCB" w14:textId="77777777" w:rsidTr="00E058BE">
        <w:tc>
          <w:tcPr>
            <w:tcW w:w="4675" w:type="dxa"/>
          </w:tcPr>
          <w:p w14:paraId="7FE78BD7" w14:textId="77777777" w:rsidR="00DF4660" w:rsidRPr="00F43CD8" w:rsidRDefault="00DF4660" w:rsidP="00E058BE">
            <w:pPr>
              <w:rPr>
                <w:sz w:val="24"/>
                <w:szCs w:val="24"/>
              </w:rPr>
            </w:pPr>
            <w:proofErr w:type="spellStart"/>
            <w:r w:rsidRPr="00F43CD8">
              <w:rPr>
                <w:sz w:val="24"/>
                <w:szCs w:val="24"/>
              </w:rPr>
              <w:t>Incapital</w:t>
            </w:r>
            <w:proofErr w:type="spellEnd"/>
            <w:r w:rsidRPr="00F43CD8">
              <w:rPr>
                <w:sz w:val="24"/>
                <w:szCs w:val="24"/>
              </w:rPr>
              <w:t xml:space="preserve"> LLC</w:t>
            </w:r>
          </w:p>
        </w:tc>
        <w:tc>
          <w:tcPr>
            <w:tcW w:w="4675" w:type="dxa"/>
          </w:tcPr>
          <w:p w14:paraId="70ECB150" w14:textId="77777777" w:rsidR="00DF4660" w:rsidRPr="00604B44" w:rsidRDefault="00DF4660" w:rsidP="00E058BE">
            <w:pPr>
              <w:rPr>
                <w:sz w:val="24"/>
                <w:szCs w:val="24"/>
              </w:rPr>
            </w:pPr>
            <w:proofErr w:type="spellStart"/>
            <w:r w:rsidRPr="00604B44">
              <w:rPr>
                <w:sz w:val="24"/>
                <w:szCs w:val="24"/>
              </w:rPr>
              <w:t>Tellimer</w:t>
            </w:r>
            <w:proofErr w:type="spellEnd"/>
            <w:r w:rsidRPr="00604B44">
              <w:rPr>
                <w:sz w:val="24"/>
                <w:szCs w:val="24"/>
              </w:rPr>
              <w:t xml:space="preserve"> Markets Inc.</w:t>
            </w:r>
          </w:p>
        </w:tc>
      </w:tr>
      <w:tr w:rsidR="00DF4660" w:rsidRPr="00F43CD8" w14:paraId="68062BC4" w14:textId="77777777" w:rsidTr="00E058BE">
        <w:tc>
          <w:tcPr>
            <w:tcW w:w="4675" w:type="dxa"/>
          </w:tcPr>
          <w:p w14:paraId="1BF89599" w14:textId="77777777" w:rsidR="00DF4660" w:rsidRPr="00F43CD8" w:rsidRDefault="00DF4660" w:rsidP="00E058BE">
            <w:pPr>
              <w:rPr>
                <w:sz w:val="24"/>
                <w:szCs w:val="24"/>
              </w:rPr>
            </w:pPr>
            <w:r w:rsidRPr="00F43CD8">
              <w:rPr>
                <w:sz w:val="24"/>
                <w:szCs w:val="24"/>
              </w:rPr>
              <w:t>ING Financial Markets LLC</w:t>
            </w:r>
          </w:p>
        </w:tc>
        <w:tc>
          <w:tcPr>
            <w:tcW w:w="4675" w:type="dxa"/>
          </w:tcPr>
          <w:p w14:paraId="2A8FC1AF" w14:textId="77777777" w:rsidR="00DF4660" w:rsidRPr="00604B44" w:rsidRDefault="00DF4660" w:rsidP="00E058BE">
            <w:pPr>
              <w:rPr>
                <w:sz w:val="24"/>
                <w:szCs w:val="24"/>
              </w:rPr>
            </w:pPr>
            <w:r w:rsidRPr="00604B44">
              <w:rPr>
                <w:sz w:val="24"/>
                <w:szCs w:val="24"/>
              </w:rPr>
              <w:t>TPCG Markets Financial Services, S.A.</w:t>
            </w:r>
          </w:p>
        </w:tc>
      </w:tr>
      <w:tr w:rsidR="00DF4660" w:rsidRPr="00F43CD8" w14:paraId="47019119" w14:textId="77777777" w:rsidTr="00E058BE">
        <w:tc>
          <w:tcPr>
            <w:tcW w:w="4675" w:type="dxa"/>
          </w:tcPr>
          <w:p w14:paraId="4FC9EC32" w14:textId="77777777" w:rsidR="00DF4660" w:rsidRPr="00F43CD8" w:rsidRDefault="00DF4660" w:rsidP="00E058BE">
            <w:pPr>
              <w:rPr>
                <w:sz w:val="24"/>
                <w:szCs w:val="24"/>
              </w:rPr>
            </w:pPr>
            <w:proofErr w:type="spellStart"/>
            <w:r w:rsidRPr="00604B44">
              <w:rPr>
                <w:sz w:val="24"/>
                <w:szCs w:val="24"/>
              </w:rPr>
              <w:lastRenderedPageBreak/>
              <w:t>Itau</w:t>
            </w:r>
            <w:proofErr w:type="spellEnd"/>
            <w:r w:rsidRPr="00604B44">
              <w:rPr>
                <w:sz w:val="24"/>
                <w:szCs w:val="24"/>
              </w:rPr>
              <w:t xml:space="preserve"> International Securities Inc.</w:t>
            </w:r>
          </w:p>
        </w:tc>
        <w:tc>
          <w:tcPr>
            <w:tcW w:w="4675" w:type="dxa"/>
          </w:tcPr>
          <w:p w14:paraId="10772CE2" w14:textId="77777777" w:rsidR="00DF4660" w:rsidRPr="00604B44" w:rsidRDefault="00DF4660" w:rsidP="00E058BE">
            <w:pPr>
              <w:rPr>
                <w:sz w:val="24"/>
                <w:szCs w:val="24"/>
              </w:rPr>
            </w:pPr>
            <w:proofErr w:type="spellStart"/>
            <w:r w:rsidRPr="00604B44">
              <w:rPr>
                <w:sz w:val="24"/>
                <w:szCs w:val="24"/>
              </w:rPr>
              <w:t>Truist</w:t>
            </w:r>
            <w:proofErr w:type="spellEnd"/>
            <w:r w:rsidRPr="00604B44">
              <w:rPr>
                <w:sz w:val="24"/>
                <w:szCs w:val="24"/>
              </w:rPr>
              <w:t xml:space="preserve"> Securities, Inc.</w:t>
            </w:r>
          </w:p>
        </w:tc>
      </w:tr>
      <w:tr w:rsidR="00DF4660" w:rsidRPr="00F43CD8" w14:paraId="2BCF5906" w14:textId="77777777" w:rsidTr="00E058BE">
        <w:tc>
          <w:tcPr>
            <w:tcW w:w="4675" w:type="dxa"/>
          </w:tcPr>
          <w:p w14:paraId="2228525C" w14:textId="77777777" w:rsidR="00DF4660" w:rsidRPr="00F43CD8" w:rsidRDefault="00DF4660" w:rsidP="00E058BE">
            <w:pPr>
              <w:rPr>
                <w:sz w:val="24"/>
                <w:szCs w:val="24"/>
              </w:rPr>
            </w:pPr>
            <w:r w:rsidRPr="00604B44">
              <w:rPr>
                <w:sz w:val="24"/>
                <w:szCs w:val="24"/>
              </w:rPr>
              <w:t>Jane Street Execution Services, LLC</w:t>
            </w:r>
          </w:p>
        </w:tc>
        <w:tc>
          <w:tcPr>
            <w:tcW w:w="4675" w:type="dxa"/>
          </w:tcPr>
          <w:p w14:paraId="7FEC6AEF" w14:textId="77777777" w:rsidR="00DF4660" w:rsidRPr="00604B44" w:rsidRDefault="00DF4660" w:rsidP="00E058BE">
            <w:pPr>
              <w:rPr>
                <w:sz w:val="24"/>
                <w:szCs w:val="24"/>
              </w:rPr>
            </w:pPr>
            <w:proofErr w:type="spellStart"/>
            <w:r w:rsidRPr="00604B44">
              <w:rPr>
                <w:sz w:val="24"/>
                <w:szCs w:val="24"/>
              </w:rPr>
              <w:t>Trumid</w:t>
            </w:r>
            <w:proofErr w:type="spellEnd"/>
            <w:r w:rsidRPr="00604B44">
              <w:rPr>
                <w:sz w:val="24"/>
                <w:szCs w:val="24"/>
              </w:rPr>
              <w:t xml:space="preserve"> Financial LLC</w:t>
            </w:r>
          </w:p>
        </w:tc>
      </w:tr>
      <w:tr w:rsidR="00DF4660" w:rsidRPr="00F43CD8" w14:paraId="62FBCCD9" w14:textId="77777777" w:rsidTr="00E058BE">
        <w:tc>
          <w:tcPr>
            <w:tcW w:w="4675" w:type="dxa"/>
          </w:tcPr>
          <w:p w14:paraId="4C96FAF1" w14:textId="77777777" w:rsidR="00DF4660" w:rsidRPr="00604B44" w:rsidRDefault="00DF4660" w:rsidP="00E058BE">
            <w:pPr>
              <w:rPr>
                <w:sz w:val="24"/>
                <w:szCs w:val="24"/>
              </w:rPr>
            </w:pPr>
            <w:r w:rsidRPr="00604B44">
              <w:rPr>
                <w:sz w:val="24"/>
                <w:szCs w:val="24"/>
              </w:rPr>
              <w:t>Janney Montgomery Scott LLC</w:t>
            </w:r>
          </w:p>
        </w:tc>
        <w:tc>
          <w:tcPr>
            <w:tcW w:w="4675" w:type="dxa"/>
          </w:tcPr>
          <w:p w14:paraId="5725DF7E" w14:textId="77777777" w:rsidR="00DF4660" w:rsidRPr="00604B44" w:rsidRDefault="00DF4660" w:rsidP="00E058BE">
            <w:pPr>
              <w:rPr>
                <w:sz w:val="24"/>
                <w:szCs w:val="24"/>
              </w:rPr>
            </w:pPr>
            <w:proofErr w:type="spellStart"/>
            <w:r w:rsidRPr="00604B44">
              <w:rPr>
                <w:sz w:val="24"/>
                <w:szCs w:val="24"/>
              </w:rPr>
              <w:t>Tullett</w:t>
            </w:r>
            <w:proofErr w:type="spellEnd"/>
            <w:r w:rsidRPr="00604B44">
              <w:rPr>
                <w:sz w:val="24"/>
                <w:szCs w:val="24"/>
              </w:rPr>
              <w:t xml:space="preserve"> </w:t>
            </w:r>
            <w:proofErr w:type="spellStart"/>
            <w:r w:rsidRPr="00604B44">
              <w:rPr>
                <w:sz w:val="24"/>
                <w:szCs w:val="24"/>
              </w:rPr>
              <w:t>Prebon</w:t>
            </w:r>
            <w:proofErr w:type="spellEnd"/>
            <w:r w:rsidRPr="00604B44">
              <w:rPr>
                <w:sz w:val="24"/>
                <w:szCs w:val="24"/>
              </w:rPr>
              <w:t xml:space="preserve"> Financial Services LLC</w:t>
            </w:r>
          </w:p>
        </w:tc>
      </w:tr>
      <w:tr w:rsidR="00DF4660" w:rsidRPr="00F43CD8" w14:paraId="5C0D2344" w14:textId="77777777" w:rsidTr="00E058BE">
        <w:tc>
          <w:tcPr>
            <w:tcW w:w="4675" w:type="dxa"/>
          </w:tcPr>
          <w:p w14:paraId="70EE8622" w14:textId="77777777" w:rsidR="00DF4660" w:rsidRPr="00604B44" w:rsidRDefault="00DF4660" w:rsidP="00E058BE">
            <w:pPr>
              <w:rPr>
                <w:sz w:val="24"/>
                <w:szCs w:val="24"/>
              </w:rPr>
            </w:pPr>
            <w:r w:rsidRPr="00604B44">
              <w:rPr>
                <w:sz w:val="24"/>
                <w:szCs w:val="24"/>
              </w:rPr>
              <w:t>Jefferies LLC</w:t>
            </w:r>
          </w:p>
        </w:tc>
        <w:tc>
          <w:tcPr>
            <w:tcW w:w="4675" w:type="dxa"/>
          </w:tcPr>
          <w:p w14:paraId="099CB65F" w14:textId="77777777" w:rsidR="00DF4660" w:rsidRPr="00604B44" w:rsidRDefault="00DF4660" w:rsidP="00E058BE">
            <w:pPr>
              <w:rPr>
                <w:sz w:val="24"/>
                <w:szCs w:val="24"/>
              </w:rPr>
            </w:pPr>
            <w:r w:rsidRPr="00604B44">
              <w:rPr>
                <w:sz w:val="24"/>
                <w:szCs w:val="24"/>
              </w:rPr>
              <w:t>UBS Securities LLC</w:t>
            </w:r>
          </w:p>
        </w:tc>
      </w:tr>
      <w:tr w:rsidR="00DF4660" w:rsidRPr="00F43CD8" w14:paraId="618C2333" w14:textId="77777777" w:rsidTr="00E058BE">
        <w:tc>
          <w:tcPr>
            <w:tcW w:w="4675" w:type="dxa"/>
          </w:tcPr>
          <w:p w14:paraId="7F0ECFDA" w14:textId="77777777" w:rsidR="00DF4660" w:rsidRPr="00604B44" w:rsidRDefault="00DF4660" w:rsidP="00E058BE">
            <w:pPr>
              <w:rPr>
                <w:sz w:val="24"/>
                <w:szCs w:val="24"/>
              </w:rPr>
            </w:pPr>
            <w:r w:rsidRPr="00604B44">
              <w:rPr>
                <w:sz w:val="24"/>
                <w:szCs w:val="24"/>
              </w:rPr>
              <w:t>Jones Trading Institutional Services LLC</w:t>
            </w:r>
          </w:p>
        </w:tc>
        <w:tc>
          <w:tcPr>
            <w:tcW w:w="4675" w:type="dxa"/>
          </w:tcPr>
          <w:p w14:paraId="7648CA77" w14:textId="77777777" w:rsidR="00DF4660" w:rsidRPr="00604B44" w:rsidRDefault="00DF4660" w:rsidP="00E058BE">
            <w:pPr>
              <w:rPr>
                <w:sz w:val="24"/>
                <w:szCs w:val="24"/>
              </w:rPr>
            </w:pPr>
            <w:r w:rsidRPr="00604B44">
              <w:rPr>
                <w:sz w:val="24"/>
                <w:szCs w:val="24"/>
              </w:rPr>
              <w:t>UMBNA</w:t>
            </w:r>
          </w:p>
        </w:tc>
      </w:tr>
      <w:tr w:rsidR="00DF4660" w:rsidRPr="00F43CD8" w14:paraId="217FDBEA" w14:textId="77777777" w:rsidTr="00E058BE">
        <w:tc>
          <w:tcPr>
            <w:tcW w:w="4675" w:type="dxa"/>
          </w:tcPr>
          <w:p w14:paraId="582F51FD" w14:textId="77777777" w:rsidR="00DF4660" w:rsidRPr="00604B44" w:rsidRDefault="00DF4660" w:rsidP="00E058BE">
            <w:pPr>
              <w:rPr>
                <w:sz w:val="24"/>
                <w:szCs w:val="24"/>
              </w:rPr>
            </w:pPr>
            <w:r w:rsidRPr="00604B44">
              <w:rPr>
                <w:sz w:val="24"/>
                <w:szCs w:val="24"/>
              </w:rPr>
              <w:t>J.P. Morgan Securities LLC</w:t>
            </w:r>
          </w:p>
        </w:tc>
        <w:tc>
          <w:tcPr>
            <w:tcW w:w="4675" w:type="dxa"/>
          </w:tcPr>
          <w:p w14:paraId="2A69376B" w14:textId="77777777" w:rsidR="00DF4660" w:rsidRPr="00604B44" w:rsidRDefault="00DF4660" w:rsidP="00E058BE">
            <w:pPr>
              <w:rPr>
                <w:sz w:val="24"/>
                <w:szCs w:val="24"/>
              </w:rPr>
            </w:pPr>
            <w:r w:rsidRPr="00604B44">
              <w:rPr>
                <w:sz w:val="24"/>
                <w:szCs w:val="24"/>
              </w:rPr>
              <w:t>UMBFSI</w:t>
            </w:r>
          </w:p>
        </w:tc>
      </w:tr>
      <w:tr w:rsidR="00DF4660" w:rsidRPr="00F43CD8" w14:paraId="58BD3B4A" w14:textId="77777777" w:rsidTr="00E058BE">
        <w:tc>
          <w:tcPr>
            <w:tcW w:w="4675" w:type="dxa"/>
          </w:tcPr>
          <w:p w14:paraId="412463E5" w14:textId="77777777" w:rsidR="00DF4660" w:rsidRPr="00604B44" w:rsidRDefault="00DF4660" w:rsidP="00E058BE">
            <w:pPr>
              <w:rPr>
                <w:sz w:val="24"/>
                <w:szCs w:val="24"/>
              </w:rPr>
            </w:pPr>
            <w:r w:rsidRPr="00604B44">
              <w:rPr>
                <w:sz w:val="24"/>
                <w:szCs w:val="24"/>
              </w:rPr>
              <w:t>KeyBanc Capital Markets Inc.</w:t>
            </w:r>
          </w:p>
        </w:tc>
        <w:tc>
          <w:tcPr>
            <w:tcW w:w="4675" w:type="dxa"/>
          </w:tcPr>
          <w:p w14:paraId="2C191166" w14:textId="77777777" w:rsidR="00DF4660" w:rsidRPr="00604B44" w:rsidRDefault="00DF4660" w:rsidP="00E058BE">
            <w:pPr>
              <w:rPr>
                <w:sz w:val="24"/>
                <w:szCs w:val="24"/>
              </w:rPr>
            </w:pPr>
            <w:r w:rsidRPr="00604B44">
              <w:rPr>
                <w:sz w:val="24"/>
                <w:szCs w:val="24"/>
              </w:rPr>
              <w:t>Virtu Americas LLC</w:t>
            </w:r>
          </w:p>
        </w:tc>
      </w:tr>
      <w:tr w:rsidR="00DF4660" w:rsidRPr="00F43CD8" w14:paraId="030F8B77" w14:textId="77777777" w:rsidTr="00E058BE">
        <w:tc>
          <w:tcPr>
            <w:tcW w:w="4675" w:type="dxa"/>
          </w:tcPr>
          <w:p w14:paraId="6E98596D" w14:textId="77777777" w:rsidR="00DF4660" w:rsidRPr="00604B44" w:rsidRDefault="00DF4660" w:rsidP="00E058BE">
            <w:pPr>
              <w:rPr>
                <w:sz w:val="24"/>
                <w:szCs w:val="24"/>
              </w:rPr>
            </w:pPr>
            <w:proofErr w:type="spellStart"/>
            <w:r w:rsidRPr="00604B44">
              <w:rPr>
                <w:sz w:val="24"/>
                <w:szCs w:val="24"/>
              </w:rPr>
              <w:t>LarrainVial</w:t>
            </w:r>
            <w:proofErr w:type="spellEnd"/>
            <w:r w:rsidRPr="00604B44">
              <w:rPr>
                <w:sz w:val="24"/>
                <w:szCs w:val="24"/>
              </w:rPr>
              <w:t xml:space="preserve"> Securities US LLC</w:t>
            </w:r>
          </w:p>
        </w:tc>
        <w:tc>
          <w:tcPr>
            <w:tcW w:w="4675" w:type="dxa"/>
          </w:tcPr>
          <w:p w14:paraId="65AB98BE" w14:textId="77777777" w:rsidR="00DF4660" w:rsidRPr="00604B44" w:rsidRDefault="00DF4660" w:rsidP="00E058BE">
            <w:pPr>
              <w:rPr>
                <w:sz w:val="24"/>
                <w:szCs w:val="24"/>
              </w:rPr>
            </w:pPr>
            <w:r w:rsidRPr="00604B44">
              <w:rPr>
                <w:sz w:val="24"/>
                <w:szCs w:val="24"/>
              </w:rPr>
              <w:t>Wells Fargo Securities, LLC</w:t>
            </w:r>
          </w:p>
        </w:tc>
      </w:tr>
      <w:tr w:rsidR="00DF4660" w:rsidRPr="00F43CD8" w14:paraId="74813288" w14:textId="77777777" w:rsidTr="00E058BE">
        <w:tc>
          <w:tcPr>
            <w:tcW w:w="4675" w:type="dxa"/>
          </w:tcPr>
          <w:p w14:paraId="066610ED" w14:textId="77777777" w:rsidR="00DF4660" w:rsidRPr="00604B44" w:rsidRDefault="00DF4660" w:rsidP="00E058BE">
            <w:pPr>
              <w:rPr>
                <w:sz w:val="24"/>
                <w:szCs w:val="24"/>
              </w:rPr>
            </w:pPr>
            <w:r w:rsidRPr="00604B44">
              <w:rPr>
                <w:sz w:val="24"/>
                <w:szCs w:val="24"/>
              </w:rPr>
              <w:t xml:space="preserve">SVB </w:t>
            </w:r>
            <w:proofErr w:type="spellStart"/>
            <w:r w:rsidRPr="00604B44">
              <w:rPr>
                <w:sz w:val="24"/>
                <w:szCs w:val="24"/>
              </w:rPr>
              <w:t>Leerink</w:t>
            </w:r>
            <w:proofErr w:type="spellEnd"/>
            <w:r w:rsidRPr="00604B44">
              <w:rPr>
                <w:sz w:val="24"/>
                <w:szCs w:val="24"/>
              </w:rPr>
              <w:t xml:space="preserve"> LLC</w:t>
            </w:r>
          </w:p>
        </w:tc>
        <w:tc>
          <w:tcPr>
            <w:tcW w:w="4675" w:type="dxa"/>
          </w:tcPr>
          <w:p w14:paraId="14A40C86" w14:textId="77777777" w:rsidR="00DF4660" w:rsidRPr="00604B44" w:rsidRDefault="00DF4660" w:rsidP="00E058BE">
            <w:pPr>
              <w:rPr>
                <w:sz w:val="24"/>
                <w:szCs w:val="24"/>
              </w:rPr>
            </w:pPr>
            <w:r w:rsidRPr="00604B44">
              <w:rPr>
                <w:sz w:val="24"/>
                <w:szCs w:val="24"/>
              </w:rPr>
              <w:t>William Blair &amp; Company, LLC</w:t>
            </w:r>
          </w:p>
        </w:tc>
      </w:tr>
      <w:tr w:rsidR="00DF4660" w:rsidRPr="00F43CD8" w14:paraId="6489EA54" w14:textId="77777777" w:rsidTr="00E058BE">
        <w:tc>
          <w:tcPr>
            <w:tcW w:w="4675" w:type="dxa"/>
          </w:tcPr>
          <w:p w14:paraId="1B7C6F67" w14:textId="77777777" w:rsidR="00DF4660" w:rsidRPr="00604B44" w:rsidRDefault="00DF4660" w:rsidP="00E058BE">
            <w:pPr>
              <w:rPr>
                <w:sz w:val="24"/>
                <w:szCs w:val="24"/>
              </w:rPr>
            </w:pPr>
            <w:r w:rsidRPr="00604B44">
              <w:rPr>
                <w:sz w:val="24"/>
                <w:szCs w:val="24"/>
              </w:rPr>
              <w:t>Liquidity Finance LP</w:t>
            </w:r>
          </w:p>
        </w:tc>
        <w:tc>
          <w:tcPr>
            <w:tcW w:w="4675" w:type="dxa"/>
          </w:tcPr>
          <w:p w14:paraId="0FCA7227" w14:textId="77777777" w:rsidR="00DF4660" w:rsidRPr="00604B44" w:rsidRDefault="00DF4660" w:rsidP="00E058BE">
            <w:pPr>
              <w:rPr>
                <w:sz w:val="24"/>
                <w:szCs w:val="24"/>
              </w:rPr>
            </w:pPr>
            <w:r w:rsidRPr="00604B44">
              <w:rPr>
                <w:sz w:val="24"/>
                <w:szCs w:val="24"/>
              </w:rPr>
              <w:t>WR Securities, LLC</w:t>
            </w:r>
          </w:p>
        </w:tc>
      </w:tr>
      <w:tr w:rsidR="00DF4660" w:rsidRPr="00F43CD8" w14:paraId="55C3A134" w14:textId="77777777" w:rsidTr="00E058BE">
        <w:tc>
          <w:tcPr>
            <w:tcW w:w="4675" w:type="dxa"/>
          </w:tcPr>
          <w:p w14:paraId="19EF8025" w14:textId="77777777" w:rsidR="00DF4660" w:rsidRPr="00604B44" w:rsidRDefault="00DF4660" w:rsidP="00E058BE">
            <w:pPr>
              <w:rPr>
                <w:sz w:val="24"/>
                <w:szCs w:val="24"/>
              </w:rPr>
            </w:pPr>
            <w:proofErr w:type="spellStart"/>
            <w:r w:rsidRPr="00604B44">
              <w:rPr>
                <w:sz w:val="24"/>
                <w:szCs w:val="24"/>
              </w:rPr>
              <w:t>Liquidnet</w:t>
            </w:r>
            <w:proofErr w:type="spellEnd"/>
            <w:r w:rsidRPr="00604B44">
              <w:rPr>
                <w:sz w:val="24"/>
                <w:szCs w:val="24"/>
              </w:rPr>
              <w:t>, Inc.</w:t>
            </w:r>
          </w:p>
        </w:tc>
        <w:tc>
          <w:tcPr>
            <w:tcW w:w="4675" w:type="dxa"/>
          </w:tcPr>
          <w:p w14:paraId="1413C6F0" w14:textId="77777777" w:rsidR="00DF4660" w:rsidRPr="00604B44" w:rsidRDefault="00DF4660" w:rsidP="00E058BE">
            <w:pPr>
              <w:rPr>
                <w:sz w:val="24"/>
                <w:szCs w:val="24"/>
              </w:rPr>
            </w:pPr>
            <w:r w:rsidRPr="00604B44">
              <w:rPr>
                <w:sz w:val="24"/>
                <w:szCs w:val="24"/>
              </w:rPr>
              <w:t>XP Investments US, LLC</w:t>
            </w:r>
          </w:p>
        </w:tc>
      </w:tr>
      <w:tr w:rsidR="00DF4660" w:rsidRPr="00F43CD8" w14:paraId="165DBE0A" w14:textId="77777777" w:rsidTr="00E058BE">
        <w:trPr>
          <w:trHeight w:val="143"/>
        </w:trPr>
        <w:tc>
          <w:tcPr>
            <w:tcW w:w="4675" w:type="dxa"/>
          </w:tcPr>
          <w:p w14:paraId="4D0C34B0" w14:textId="77777777" w:rsidR="00DF4660" w:rsidRPr="00604B44" w:rsidRDefault="00DF4660" w:rsidP="00E058BE">
            <w:pPr>
              <w:rPr>
                <w:sz w:val="24"/>
                <w:szCs w:val="24"/>
              </w:rPr>
            </w:pPr>
            <w:r w:rsidRPr="00604B44">
              <w:rPr>
                <w:sz w:val="24"/>
                <w:szCs w:val="24"/>
              </w:rPr>
              <w:t>Lloyds Securities Inc.</w:t>
            </w:r>
          </w:p>
        </w:tc>
        <w:tc>
          <w:tcPr>
            <w:tcW w:w="4675" w:type="dxa"/>
          </w:tcPr>
          <w:p w14:paraId="684E13E2" w14:textId="77777777" w:rsidR="00DF4660" w:rsidRPr="00604B44" w:rsidRDefault="00DF4660" w:rsidP="00E058BE">
            <w:pPr>
              <w:rPr>
                <w:sz w:val="24"/>
                <w:szCs w:val="24"/>
              </w:rPr>
            </w:pPr>
            <w:proofErr w:type="spellStart"/>
            <w:r w:rsidRPr="00604B44">
              <w:rPr>
                <w:sz w:val="24"/>
                <w:szCs w:val="24"/>
              </w:rPr>
              <w:t>Xtellius</w:t>
            </w:r>
            <w:proofErr w:type="spellEnd"/>
          </w:p>
        </w:tc>
      </w:tr>
    </w:tbl>
    <w:p w14:paraId="6FCDB40E" w14:textId="77777777" w:rsidR="00616305" w:rsidRDefault="00616305">
      <w:pPr>
        <w:pStyle w:val="BodyText"/>
        <w:rPr>
          <w:sz w:val="20"/>
        </w:rPr>
      </w:pPr>
    </w:p>
    <w:p w14:paraId="41816550" w14:textId="77777777" w:rsidR="00616305" w:rsidRDefault="00616305">
      <w:pPr>
        <w:pStyle w:val="BodyText"/>
        <w:rPr>
          <w:sz w:val="20"/>
        </w:rPr>
      </w:pPr>
    </w:p>
    <w:p w14:paraId="1C187B04" w14:textId="77777777" w:rsidR="00616305" w:rsidRDefault="00616305">
      <w:pPr>
        <w:pStyle w:val="BodyText"/>
        <w:spacing w:before="9"/>
        <w:rPr>
          <w:sz w:val="17"/>
        </w:rPr>
      </w:pPr>
    </w:p>
    <w:p w14:paraId="723410D5" w14:textId="77777777" w:rsidR="00616305" w:rsidRDefault="00461EBB">
      <w:pPr>
        <w:pStyle w:val="BodyText"/>
        <w:spacing w:before="90"/>
        <w:ind w:left="160" w:right="122" w:firstLine="719"/>
        <w:jc w:val="both"/>
      </w:pPr>
      <w:r>
        <w:t>For</w:t>
      </w:r>
      <w:r>
        <w:rPr>
          <w:spacing w:val="-17"/>
        </w:rPr>
        <w:t xml:space="preserve"> </w:t>
      </w:r>
      <w:r>
        <w:t>additional</w:t>
      </w:r>
      <w:r>
        <w:rPr>
          <w:spacing w:val="-16"/>
        </w:rPr>
        <w:t xml:space="preserve"> </w:t>
      </w:r>
      <w:r>
        <w:t>information</w:t>
      </w:r>
      <w:r>
        <w:rPr>
          <w:spacing w:val="-16"/>
        </w:rPr>
        <w:t xml:space="preserve"> </w:t>
      </w:r>
      <w:r>
        <w:t>regarding</w:t>
      </w:r>
      <w:r>
        <w:rPr>
          <w:spacing w:val="-16"/>
        </w:rPr>
        <w:t xml:space="preserve"> </w:t>
      </w:r>
      <w:r>
        <w:t>the</w:t>
      </w:r>
      <w:r>
        <w:rPr>
          <w:spacing w:val="-14"/>
        </w:rPr>
        <w:t xml:space="preserve"> </w:t>
      </w:r>
      <w:r>
        <w:t>provision</w:t>
      </w:r>
      <w:r>
        <w:rPr>
          <w:spacing w:val="-15"/>
        </w:rPr>
        <w:t xml:space="preserve"> </w:t>
      </w:r>
      <w:r>
        <w:t>of</w:t>
      </w:r>
      <w:r>
        <w:rPr>
          <w:spacing w:val="-17"/>
        </w:rPr>
        <w:t xml:space="preserve"> </w:t>
      </w:r>
      <w:r>
        <w:t>brokerage</w:t>
      </w:r>
      <w:r>
        <w:rPr>
          <w:spacing w:val="-17"/>
        </w:rPr>
        <w:t xml:space="preserve"> </w:t>
      </w:r>
      <w:r>
        <w:t>or</w:t>
      </w:r>
      <w:r>
        <w:rPr>
          <w:spacing w:val="-17"/>
        </w:rPr>
        <w:t xml:space="preserve"> </w:t>
      </w:r>
      <w:r>
        <w:t>research</w:t>
      </w:r>
      <w:r>
        <w:rPr>
          <w:spacing w:val="-15"/>
        </w:rPr>
        <w:t xml:space="preserve"> </w:t>
      </w:r>
      <w:r>
        <w:t>services,</w:t>
      </w:r>
      <w:r>
        <w:rPr>
          <w:spacing w:val="-16"/>
        </w:rPr>
        <w:t xml:space="preserve"> </w:t>
      </w:r>
      <w:r>
        <w:t>please refer to the applicable SAI’s “Brokerage, Allocation and Other Trading Practices”</w:t>
      </w:r>
      <w:r>
        <w:rPr>
          <w:spacing w:val="-13"/>
        </w:rPr>
        <w:t xml:space="preserve"> </w:t>
      </w:r>
      <w:r>
        <w:t>section.</w:t>
      </w:r>
    </w:p>
    <w:p w14:paraId="5276A70D" w14:textId="77777777" w:rsidR="00616305" w:rsidRDefault="00616305">
      <w:pPr>
        <w:pStyle w:val="BodyText"/>
        <w:spacing w:before="11"/>
        <w:rPr>
          <w:sz w:val="20"/>
        </w:rPr>
      </w:pPr>
    </w:p>
    <w:p w14:paraId="2CF37850" w14:textId="77777777" w:rsidR="00616305" w:rsidRDefault="00461EBB">
      <w:pPr>
        <w:pStyle w:val="BodyText"/>
        <w:ind w:left="160" w:right="122" w:firstLine="719"/>
        <w:jc w:val="both"/>
      </w:pPr>
      <w:r>
        <w:t>The suggested Department of Labor Service Code for these services is 68 (‘Soft Dollars’ Commissions).</w:t>
      </w:r>
    </w:p>
    <w:p w14:paraId="135B5FB2" w14:textId="77777777" w:rsidR="00616305" w:rsidRDefault="00616305">
      <w:pPr>
        <w:pStyle w:val="BodyText"/>
        <w:spacing w:before="10"/>
        <w:rPr>
          <w:sz w:val="20"/>
        </w:rPr>
      </w:pPr>
    </w:p>
    <w:p w14:paraId="3372DFD8" w14:textId="77777777" w:rsidR="00616305" w:rsidRDefault="00461EBB">
      <w:pPr>
        <w:pStyle w:val="BodyText"/>
        <w:ind w:left="160"/>
      </w:pPr>
      <w:r>
        <w:rPr>
          <w:u w:val="single"/>
        </w:rPr>
        <w:t>Gifts and Entertainment</w:t>
      </w:r>
    </w:p>
    <w:p w14:paraId="59023370" w14:textId="77777777" w:rsidR="00616305" w:rsidRDefault="00616305">
      <w:pPr>
        <w:pStyle w:val="BodyText"/>
        <w:spacing w:before="10"/>
        <w:rPr>
          <w:sz w:val="20"/>
        </w:rPr>
      </w:pPr>
    </w:p>
    <w:p w14:paraId="447C44F3" w14:textId="77777777" w:rsidR="00616305" w:rsidRDefault="00461EBB">
      <w:pPr>
        <w:pStyle w:val="BodyText"/>
        <w:ind w:left="160" w:right="116" w:firstLine="719"/>
        <w:jc w:val="both"/>
      </w:pPr>
      <w:r>
        <w:t>The Adviser has reviewed the gifts and entertainment received by its employees and determined</w:t>
      </w:r>
      <w:r>
        <w:rPr>
          <w:spacing w:val="-7"/>
        </w:rPr>
        <w:t xml:space="preserve"> </w:t>
      </w:r>
      <w:r>
        <w:t>that,</w:t>
      </w:r>
      <w:r>
        <w:rPr>
          <w:spacing w:val="-6"/>
        </w:rPr>
        <w:t xml:space="preserve"> </w:t>
      </w:r>
      <w:r>
        <w:t>under</w:t>
      </w:r>
      <w:r>
        <w:rPr>
          <w:spacing w:val="-7"/>
        </w:rPr>
        <w:t xml:space="preserve"> </w:t>
      </w:r>
      <w:r>
        <w:t>any</w:t>
      </w:r>
      <w:r>
        <w:rPr>
          <w:spacing w:val="-7"/>
        </w:rPr>
        <w:t xml:space="preserve"> </w:t>
      </w:r>
      <w:r>
        <w:t>reasonable</w:t>
      </w:r>
      <w:r>
        <w:rPr>
          <w:spacing w:val="-7"/>
        </w:rPr>
        <w:t xml:space="preserve"> </w:t>
      </w:r>
      <w:r>
        <w:t>method</w:t>
      </w:r>
      <w:r>
        <w:rPr>
          <w:spacing w:val="-6"/>
        </w:rPr>
        <w:t xml:space="preserve"> </w:t>
      </w:r>
      <w:r>
        <w:t>of</w:t>
      </w:r>
      <w:r>
        <w:rPr>
          <w:spacing w:val="-7"/>
        </w:rPr>
        <w:t xml:space="preserve"> </w:t>
      </w:r>
      <w:r>
        <w:t>allocation,</w:t>
      </w:r>
      <w:r>
        <w:rPr>
          <w:spacing w:val="-7"/>
        </w:rPr>
        <w:t xml:space="preserve"> </w:t>
      </w:r>
      <w:r>
        <w:t>the</w:t>
      </w:r>
      <w:r>
        <w:rPr>
          <w:spacing w:val="-7"/>
        </w:rPr>
        <w:t xml:space="preserve"> </w:t>
      </w:r>
      <w:proofErr w:type="gramStart"/>
      <w:r>
        <w:t>amount</w:t>
      </w:r>
      <w:proofErr w:type="gramEnd"/>
      <w:r>
        <w:rPr>
          <w:spacing w:val="-6"/>
        </w:rPr>
        <w:t xml:space="preserve"> </w:t>
      </w:r>
      <w:r>
        <w:t>of</w:t>
      </w:r>
      <w:r>
        <w:rPr>
          <w:spacing w:val="-7"/>
        </w:rPr>
        <w:t xml:space="preserve"> </w:t>
      </w:r>
      <w:r>
        <w:t>gifts</w:t>
      </w:r>
      <w:r>
        <w:rPr>
          <w:spacing w:val="-7"/>
        </w:rPr>
        <w:t xml:space="preserve"> </w:t>
      </w:r>
      <w:r>
        <w:t>and</w:t>
      </w:r>
      <w:r>
        <w:rPr>
          <w:spacing w:val="-6"/>
        </w:rPr>
        <w:t xml:space="preserve"> </w:t>
      </w:r>
      <w:r>
        <w:t>entertainment attributable</w:t>
      </w:r>
      <w:r>
        <w:rPr>
          <w:spacing w:val="-12"/>
        </w:rPr>
        <w:t xml:space="preserve"> </w:t>
      </w:r>
      <w:r>
        <w:t>to</w:t>
      </w:r>
      <w:r>
        <w:rPr>
          <w:spacing w:val="-11"/>
        </w:rPr>
        <w:t xml:space="preserve"> </w:t>
      </w:r>
      <w:r>
        <w:t>any</w:t>
      </w:r>
      <w:r>
        <w:rPr>
          <w:spacing w:val="-11"/>
        </w:rPr>
        <w:t xml:space="preserve"> </w:t>
      </w:r>
      <w:r>
        <w:t>plan</w:t>
      </w:r>
      <w:r>
        <w:rPr>
          <w:spacing w:val="-8"/>
        </w:rPr>
        <w:t xml:space="preserve"> </w:t>
      </w:r>
      <w:r>
        <w:t>are</w:t>
      </w:r>
      <w:r>
        <w:rPr>
          <w:spacing w:val="-12"/>
        </w:rPr>
        <w:t xml:space="preserve"> </w:t>
      </w:r>
      <w:r>
        <w:t>of</w:t>
      </w:r>
      <w:r>
        <w:rPr>
          <w:spacing w:val="-12"/>
        </w:rPr>
        <w:t xml:space="preserve"> </w:t>
      </w:r>
      <w:r>
        <w:t>insubstantial</w:t>
      </w:r>
      <w:r>
        <w:rPr>
          <w:spacing w:val="-10"/>
        </w:rPr>
        <w:t xml:space="preserve"> </w:t>
      </w:r>
      <w:r>
        <w:t>value.</w:t>
      </w:r>
      <w:r>
        <w:rPr>
          <w:spacing w:val="42"/>
        </w:rPr>
        <w:t xml:space="preserve"> </w:t>
      </w:r>
      <w:r>
        <w:t>Accordingly,</w:t>
      </w:r>
      <w:r>
        <w:rPr>
          <w:spacing w:val="-11"/>
        </w:rPr>
        <w:t xml:space="preserve"> </w:t>
      </w:r>
      <w:r>
        <w:t>no</w:t>
      </w:r>
      <w:r>
        <w:rPr>
          <w:spacing w:val="-8"/>
        </w:rPr>
        <w:t xml:space="preserve"> </w:t>
      </w:r>
      <w:r>
        <w:t>amount</w:t>
      </w:r>
      <w:r>
        <w:rPr>
          <w:spacing w:val="-10"/>
        </w:rPr>
        <w:t xml:space="preserve"> </w:t>
      </w:r>
      <w:r>
        <w:t>of</w:t>
      </w:r>
      <w:r>
        <w:rPr>
          <w:spacing w:val="-12"/>
        </w:rPr>
        <w:t xml:space="preserve"> </w:t>
      </w:r>
      <w:r>
        <w:t>gift</w:t>
      </w:r>
      <w:r>
        <w:rPr>
          <w:spacing w:val="-10"/>
        </w:rPr>
        <w:t xml:space="preserve"> </w:t>
      </w:r>
      <w:r>
        <w:t>or</w:t>
      </w:r>
      <w:r>
        <w:rPr>
          <w:spacing w:val="-12"/>
        </w:rPr>
        <w:t xml:space="preserve"> </w:t>
      </w:r>
      <w:r>
        <w:t>entertainment compensation must be reported on Form 5500 Schedule C.</w:t>
      </w:r>
    </w:p>
    <w:p w14:paraId="6E6E0261" w14:textId="77777777" w:rsidR="00616305" w:rsidRDefault="00616305">
      <w:pPr>
        <w:pStyle w:val="BodyText"/>
        <w:spacing w:before="10"/>
        <w:rPr>
          <w:sz w:val="20"/>
        </w:rPr>
      </w:pPr>
    </w:p>
    <w:p w14:paraId="0D5E36DB" w14:textId="77777777" w:rsidR="00616305" w:rsidRDefault="00461EBB">
      <w:pPr>
        <w:pStyle w:val="BodyText"/>
        <w:ind w:left="160" w:right="117" w:firstLine="719"/>
        <w:jc w:val="both"/>
      </w:pPr>
      <w:r>
        <w:t>The suggested Department of Labor Service Code for these services is 56 (Non-monetary Compensation).</w:t>
      </w:r>
    </w:p>
    <w:p w14:paraId="726B2D86" w14:textId="77777777" w:rsidR="00616305" w:rsidRDefault="00616305">
      <w:pPr>
        <w:pStyle w:val="BodyText"/>
        <w:spacing w:before="1"/>
        <w:rPr>
          <w:sz w:val="13"/>
        </w:rPr>
      </w:pPr>
    </w:p>
    <w:p w14:paraId="14BE4FD7" w14:textId="77777777" w:rsidR="00616305" w:rsidRDefault="00461EBB">
      <w:pPr>
        <w:pStyle w:val="BodyText"/>
        <w:tabs>
          <w:tab w:val="left" w:pos="762"/>
          <w:tab w:val="left" w:pos="1482"/>
        </w:tabs>
        <w:spacing w:before="90"/>
        <w:ind w:left="42"/>
        <w:jc w:val="center"/>
      </w:pPr>
      <w:r>
        <w:t>*</w:t>
      </w:r>
      <w:r>
        <w:tab/>
        <w:t>*</w:t>
      </w:r>
      <w:r>
        <w:tab/>
        <w:t>*</w:t>
      </w:r>
    </w:p>
    <w:p w14:paraId="64099CC8" w14:textId="77777777" w:rsidR="00616305" w:rsidRDefault="00616305">
      <w:pPr>
        <w:pStyle w:val="BodyText"/>
        <w:spacing w:before="10"/>
        <w:rPr>
          <w:sz w:val="20"/>
        </w:rPr>
      </w:pPr>
    </w:p>
    <w:p w14:paraId="5FD08EE7" w14:textId="77777777" w:rsidR="00616305" w:rsidRDefault="00461EBB">
      <w:pPr>
        <w:pStyle w:val="Heading1"/>
        <w:tabs>
          <w:tab w:val="left" w:pos="1600"/>
        </w:tabs>
      </w:pPr>
      <w:r>
        <w:t>Part</w:t>
      </w:r>
      <w:r>
        <w:rPr>
          <w:spacing w:val="-1"/>
        </w:rPr>
        <w:t xml:space="preserve"> </w:t>
      </w:r>
      <w:r>
        <w:t>2.</w:t>
      </w:r>
      <w:r>
        <w:tab/>
        <w:t>Information on Payments Made by the Fund or the</w:t>
      </w:r>
      <w:r>
        <w:rPr>
          <w:spacing w:val="-5"/>
        </w:rPr>
        <w:t xml:space="preserve"> </w:t>
      </w:r>
      <w:r>
        <w:t>Adviser</w:t>
      </w:r>
    </w:p>
    <w:p w14:paraId="5F07237C" w14:textId="77777777" w:rsidR="00616305" w:rsidRDefault="00616305">
      <w:pPr>
        <w:pStyle w:val="BodyText"/>
        <w:spacing w:before="10"/>
        <w:rPr>
          <w:b/>
          <w:sz w:val="20"/>
        </w:rPr>
      </w:pPr>
    </w:p>
    <w:p w14:paraId="2FE937A5" w14:textId="77777777" w:rsidR="00616305" w:rsidRDefault="00461EBB">
      <w:pPr>
        <w:ind w:left="160" w:right="117" w:firstLine="719"/>
        <w:jc w:val="both"/>
        <w:rPr>
          <w:sz w:val="24"/>
        </w:rPr>
      </w:pPr>
      <w:r>
        <w:rPr>
          <w:sz w:val="24"/>
        </w:rPr>
        <w:t xml:space="preserve">Note to plan administrators: The information provided in this Part 2 provides information on payments that the Funds or the Adviser make to others that may be required to be reported on Form 5500 Schedule C. </w:t>
      </w:r>
      <w:r>
        <w:rPr>
          <w:b/>
          <w:sz w:val="24"/>
        </w:rPr>
        <w:t xml:space="preserve">It is the responsibility of the recipient of a payment to report such receipt to the plan administrator. </w:t>
      </w:r>
      <w:r>
        <w:rPr>
          <w:sz w:val="24"/>
        </w:rPr>
        <w:t>The information here is being provided solely to alert plan</w:t>
      </w:r>
    </w:p>
    <w:p w14:paraId="2108887D" w14:textId="77777777" w:rsidR="00616305" w:rsidRDefault="00616305">
      <w:pPr>
        <w:jc w:val="both"/>
        <w:rPr>
          <w:sz w:val="24"/>
        </w:rPr>
        <w:sectPr w:rsidR="00616305">
          <w:footerReference w:type="default" r:id="rId15"/>
          <w:pgSz w:w="12240" w:h="15840"/>
          <w:pgMar w:top="1440" w:right="1320" w:bottom="1180" w:left="1280" w:header="0" w:footer="981" w:gutter="0"/>
          <w:cols w:space="720"/>
        </w:sectPr>
      </w:pPr>
    </w:p>
    <w:p w14:paraId="5F68EB31" w14:textId="77777777" w:rsidR="00616305" w:rsidRDefault="00461EBB">
      <w:pPr>
        <w:pStyle w:val="BodyText"/>
        <w:spacing w:before="79"/>
        <w:ind w:left="160" w:right="116"/>
      </w:pPr>
      <w:r>
        <w:lastRenderedPageBreak/>
        <w:t xml:space="preserve">administrators to seek information from brokers, record-keepers and others. This information is of a general nature and may not cover </w:t>
      </w:r>
      <w:proofErr w:type="gramStart"/>
      <w:r>
        <w:t>all of</w:t>
      </w:r>
      <w:proofErr w:type="gramEnd"/>
      <w:r>
        <w:t xml:space="preserve"> the compensation received by your service provider.</w:t>
      </w:r>
    </w:p>
    <w:p w14:paraId="57139117" w14:textId="77777777" w:rsidR="00616305" w:rsidRDefault="00616305">
      <w:pPr>
        <w:pStyle w:val="BodyText"/>
        <w:spacing w:before="10"/>
        <w:rPr>
          <w:sz w:val="20"/>
        </w:rPr>
      </w:pPr>
    </w:p>
    <w:p w14:paraId="24B1F47A" w14:textId="77777777" w:rsidR="00616305" w:rsidRDefault="00461EBB">
      <w:pPr>
        <w:pStyle w:val="BodyText"/>
        <w:ind w:left="160"/>
      </w:pPr>
      <w:r>
        <w:rPr>
          <w:u w:val="single"/>
        </w:rPr>
        <w:t>Fees Related to Purchase and Sale / Commissions</w:t>
      </w:r>
    </w:p>
    <w:p w14:paraId="59FCACFB" w14:textId="77777777" w:rsidR="00616305" w:rsidRDefault="00616305">
      <w:pPr>
        <w:pStyle w:val="BodyText"/>
        <w:spacing w:before="1"/>
        <w:rPr>
          <w:sz w:val="21"/>
        </w:rPr>
      </w:pPr>
    </w:p>
    <w:p w14:paraId="4D851005" w14:textId="076D622F" w:rsidR="00616305" w:rsidRDefault="00461EBB">
      <w:pPr>
        <w:pStyle w:val="BodyText"/>
        <w:spacing w:line="237" w:lineRule="auto"/>
        <w:ind w:left="160" w:right="116" w:firstLine="719"/>
        <w:jc w:val="both"/>
      </w:pPr>
      <w:r>
        <w:t>For information regarding sales loads, breakpoints for sales loads, and the services provided in exchange for sales loads, please refer to the “Fund Summary – Fees and Expenses of the</w:t>
      </w:r>
      <w:r>
        <w:rPr>
          <w:spacing w:val="-10"/>
        </w:rPr>
        <w:t xml:space="preserve"> </w:t>
      </w:r>
      <w:r>
        <w:t>Fund”</w:t>
      </w:r>
      <w:r>
        <w:rPr>
          <w:spacing w:val="-7"/>
        </w:rPr>
        <w:t xml:space="preserve"> </w:t>
      </w:r>
      <w:r>
        <w:t>and</w:t>
      </w:r>
      <w:r>
        <w:rPr>
          <w:spacing w:val="-9"/>
        </w:rPr>
        <w:t xml:space="preserve"> </w:t>
      </w:r>
      <w:r>
        <w:t>“Share</w:t>
      </w:r>
      <w:r>
        <w:rPr>
          <w:spacing w:val="-10"/>
        </w:rPr>
        <w:t xml:space="preserve"> </w:t>
      </w:r>
      <w:r>
        <w:t>Class</w:t>
      </w:r>
      <w:r>
        <w:rPr>
          <w:spacing w:val="-8"/>
        </w:rPr>
        <w:t xml:space="preserve"> </w:t>
      </w:r>
      <w:r>
        <w:t>Features”</w:t>
      </w:r>
      <w:r w:rsidR="00F64D17" w:rsidRPr="00F64D17">
        <w:t xml:space="preserve"> </w:t>
      </w:r>
      <w:r w:rsidR="00F64D17">
        <w:rPr>
          <w:rStyle w:val="FootnoteReference"/>
        </w:rPr>
        <w:footnoteReference w:id="1"/>
      </w:r>
      <w:r>
        <w:rPr>
          <w:spacing w:val="13"/>
          <w:position w:val="9"/>
          <w:sz w:val="16"/>
        </w:rPr>
        <w:t xml:space="preserve"> </w:t>
      </w:r>
      <w:r>
        <w:t>sections</w:t>
      </w:r>
      <w:r>
        <w:rPr>
          <w:spacing w:val="-8"/>
        </w:rPr>
        <w:t xml:space="preserve"> </w:t>
      </w:r>
      <w:r>
        <w:t>of</w:t>
      </w:r>
      <w:r>
        <w:rPr>
          <w:spacing w:val="-9"/>
        </w:rPr>
        <w:t xml:space="preserve"> </w:t>
      </w:r>
      <w:r>
        <w:t>the</w:t>
      </w:r>
      <w:r>
        <w:rPr>
          <w:spacing w:val="-10"/>
        </w:rPr>
        <w:t xml:space="preserve"> </w:t>
      </w:r>
      <w:r>
        <w:t>Prospectus,</w:t>
      </w:r>
      <w:r>
        <w:rPr>
          <w:spacing w:val="-6"/>
        </w:rPr>
        <w:t xml:space="preserve"> </w:t>
      </w:r>
      <w:r>
        <w:t>and</w:t>
      </w:r>
      <w:r>
        <w:rPr>
          <w:spacing w:val="-10"/>
        </w:rPr>
        <w:t xml:space="preserve"> </w:t>
      </w:r>
      <w:r>
        <w:t>the</w:t>
      </w:r>
      <w:r>
        <w:rPr>
          <w:spacing w:val="-9"/>
        </w:rPr>
        <w:t xml:space="preserve"> </w:t>
      </w:r>
      <w:r>
        <w:t>“Distribution of Trust Shares” section of the SAI. Please note that the application, amount and operation of sales loads may vary between various classes of Fund</w:t>
      </w:r>
      <w:r>
        <w:rPr>
          <w:spacing w:val="-3"/>
        </w:rPr>
        <w:t xml:space="preserve"> </w:t>
      </w:r>
      <w:r>
        <w:t>shares.</w:t>
      </w:r>
    </w:p>
    <w:p w14:paraId="04C46CCE" w14:textId="77777777" w:rsidR="00616305" w:rsidRDefault="00616305">
      <w:pPr>
        <w:pStyle w:val="BodyText"/>
        <w:spacing w:before="6"/>
        <w:rPr>
          <w:sz w:val="20"/>
        </w:rPr>
      </w:pPr>
    </w:p>
    <w:p w14:paraId="7E8EDE45" w14:textId="77777777" w:rsidR="00616305" w:rsidRDefault="00461EBB">
      <w:pPr>
        <w:pStyle w:val="BodyText"/>
        <w:ind w:left="160" w:right="118" w:firstLine="719"/>
        <w:jc w:val="both"/>
      </w:pPr>
      <w:r>
        <w:t>The recipient of sales loads paid by the plan (if any) is the Funds’ distributor, Quasar Distributors, LLC, 111 East Kilbourn Avenue, Suite 2200,</w:t>
      </w:r>
      <w:r w:rsidR="00AF3F63">
        <w:t xml:space="preserve"> </w:t>
      </w:r>
      <w:r>
        <w:t>Milwaukee, Wisconsin 53202, who, in turn, pays or re-allows a commission to the selling broker/dealer. Please contact your broker/dealer for details. Quasar Distributors, LLC may retain any sales loads paid attributable to a plan if there is no broker-dealer associated with the plan’s account.</w:t>
      </w:r>
    </w:p>
    <w:p w14:paraId="49F1E930" w14:textId="77777777" w:rsidR="00616305" w:rsidRDefault="00616305">
      <w:pPr>
        <w:pStyle w:val="BodyText"/>
        <w:rPr>
          <w:sz w:val="21"/>
        </w:rPr>
      </w:pPr>
    </w:p>
    <w:p w14:paraId="608BB479" w14:textId="77777777" w:rsidR="00616305" w:rsidRDefault="00461EBB">
      <w:pPr>
        <w:pStyle w:val="BodyText"/>
        <w:ind w:left="160" w:right="120" w:firstLine="719"/>
        <w:jc w:val="both"/>
      </w:pPr>
      <w:r>
        <w:t>The suggested Department of Labor Service Codes for these services are 49 (Other services) and 54 (Sales Loads (front-end and deferred)).</w:t>
      </w:r>
    </w:p>
    <w:p w14:paraId="6A975E38" w14:textId="77777777" w:rsidR="00616305" w:rsidRDefault="00616305">
      <w:pPr>
        <w:pStyle w:val="BodyText"/>
        <w:spacing w:before="10"/>
        <w:rPr>
          <w:sz w:val="20"/>
        </w:rPr>
      </w:pPr>
    </w:p>
    <w:p w14:paraId="4C06897F" w14:textId="77777777" w:rsidR="00616305" w:rsidRDefault="00461EBB">
      <w:pPr>
        <w:pStyle w:val="BodyText"/>
        <w:ind w:left="160"/>
      </w:pPr>
      <w:r>
        <w:rPr>
          <w:u w:val="single"/>
        </w:rPr>
        <w:t>Distribution (Rule 12b-1) Fees</w:t>
      </w:r>
    </w:p>
    <w:p w14:paraId="31D5B058" w14:textId="77777777" w:rsidR="00616305" w:rsidRDefault="00616305">
      <w:pPr>
        <w:pStyle w:val="BodyText"/>
        <w:spacing w:before="5"/>
        <w:rPr>
          <w:sz w:val="21"/>
        </w:rPr>
      </w:pPr>
    </w:p>
    <w:p w14:paraId="6DDAE653" w14:textId="024ED7B5" w:rsidR="00616305" w:rsidRDefault="00461EBB">
      <w:pPr>
        <w:pStyle w:val="BodyText"/>
        <w:spacing w:line="232" w:lineRule="auto"/>
        <w:ind w:left="160" w:right="113" w:firstLine="719"/>
        <w:jc w:val="both"/>
      </w:pPr>
      <w:r>
        <w:t>For information regarding the amount and purpose of Rule 12b-1 distribution fees paid by shares of a Fund, please refer to the “Fund Summary – Fees and Expenses of the Fund,” “Share Class Features,”</w:t>
      </w:r>
      <w:r w:rsidR="00E61A49" w:rsidRPr="00E61A49">
        <w:t xml:space="preserve"> </w:t>
      </w:r>
      <w:r w:rsidR="00E61A49">
        <w:rPr>
          <w:rStyle w:val="FootnoteReference"/>
        </w:rPr>
        <w:footnoteReference w:id="2"/>
      </w:r>
      <w:r>
        <w:rPr>
          <w:position w:val="9"/>
          <w:sz w:val="16"/>
        </w:rPr>
        <w:t xml:space="preserve"> </w:t>
      </w:r>
      <w:r>
        <w:t>“How to Buy Shares – Distribution and Rule 12b-1 Fees (Class A, Class C, and Class N Shares Only); Other Distribution-Related Payments to Financial Intermediaries,”</w:t>
      </w:r>
      <w:r w:rsidR="00E61A49" w:rsidRPr="00E61A49">
        <w:t xml:space="preserve"> </w:t>
      </w:r>
      <w:r w:rsidR="00E61A49">
        <w:rPr>
          <w:rStyle w:val="FootnoteReference"/>
        </w:rPr>
        <w:footnoteReference w:id="3"/>
      </w:r>
      <w:r w:rsidR="003B60F4">
        <w:rPr>
          <w:position w:val="9"/>
          <w:sz w:val="16"/>
        </w:rPr>
        <w:t xml:space="preserve"> </w:t>
      </w:r>
      <w:r>
        <w:t>and “How</w:t>
      </w:r>
      <w:r>
        <w:rPr>
          <w:spacing w:val="-7"/>
        </w:rPr>
        <w:t xml:space="preserve"> </w:t>
      </w:r>
      <w:r>
        <w:t>to</w:t>
      </w:r>
      <w:r>
        <w:rPr>
          <w:spacing w:val="-6"/>
        </w:rPr>
        <w:t xml:space="preserve"> </w:t>
      </w:r>
      <w:r>
        <w:t>Buy</w:t>
      </w:r>
      <w:r>
        <w:rPr>
          <w:spacing w:val="-5"/>
        </w:rPr>
        <w:t xml:space="preserve"> </w:t>
      </w:r>
      <w:r>
        <w:t>Shares</w:t>
      </w:r>
      <w:r>
        <w:rPr>
          <w:spacing w:val="-5"/>
        </w:rPr>
        <w:t xml:space="preserve"> </w:t>
      </w:r>
      <w:r>
        <w:t>–</w:t>
      </w:r>
      <w:r>
        <w:rPr>
          <w:spacing w:val="-6"/>
        </w:rPr>
        <w:t xml:space="preserve"> </w:t>
      </w:r>
      <w:r>
        <w:t>Payments</w:t>
      </w:r>
      <w:r>
        <w:rPr>
          <w:spacing w:val="-5"/>
        </w:rPr>
        <w:t xml:space="preserve"> </w:t>
      </w:r>
      <w:r>
        <w:t>to</w:t>
      </w:r>
      <w:r>
        <w:rPr>
          <w:spacing w:val="-6"/>
        </w:rPr>
        <w:t xml:space="preserve"> </w:t>
      </w:r>
      <w:r>
        <w:t>Financial</w:t>
      </w:r>
      <w:r>
        <w:rPr>
          <w:spacing w:val="-4"/>
        </w:rPr>
        <w:t xml:space="preserve"> </w:t>
      </w:r>
      <w:r>
        <w:t>Intermediaries</w:t>
      </w:r>
      <w:r>
        <w:rPr>
          <w:spacing w:val="-5"/>
        </w:rPr>
        <w:t xml:space="preserve"> </w:t>
      </w:r>
      <w:r>
        <w:t>for</w:t>
      </w:r>
      <w:r>
        <w:rPr>
          <w:spacing w:val="-7"/>
        </w:rPr>
        <w:t xml:space="preserve"> </w:t>
      </w:r>
      <w:r>
        <w:t>Shareholder</w:t>
      </w:r>
      <w:r>
        <w:rPr>
          <w:spacing w:val="-7"/>
        </w:rPr>
        <w:t xml:space="preserve"> </w:t>
      </w:r>
      <w:r>
        <w:t>Services”</w:t>
      </w:r>
      <w:r w:rsidR="00E61A49" w:rsidRPr="00E61A49">
        <w:t xml:space="preserve"> </w:t>
      </w:r>
      <w:r w:rsidR="00E61A49">
        <w:rPr>
          <w:rStyle w:val="FootnoteReference"/>
        </w:rPr>
        <w:footnoteReference w:id="4"/>
      </w:r>
      <w:r>
        <w:rPr>
          <w:spacing w:val="16"/>
          <w:position w:val="9"/>
          <w:sz w:val="16"/>
        </w:rPr>
        <w:t xml:space="preserve"> </w:t>
      </w:r>
      <w:r>
        <w:t>section</w:t>
      </w:r>
      <w:r>
        <w:rPr>
          <w:spacing w:val="-6"/>
        </w:rPr>
        <w:t xml:space="preserve"> </w:t>
      </w:r>
      <w:r>
        <w:t>of the Prospectus and the “Distribution of Trust Shares” section of the SAI.</w:t>
      </w:r>
    </w:p>
    <w:p w14:paraId="01C2ED80" w14:textId="77777777" w:rsidR="00616305" w:rsidRDefault="00616305">
      <w:pPr>
        <w:pStyle w:val="BodyText"/>
        <w:spacing w:before="7"/>
        <w:rPr>
          <w:sz w:val="20"/>
        </w:rPr>
      </w:pPr>
    </w:p>
    <w:p w14:paraId="2E1DF7FB" w14:textId="77777777" w:rsidR="00616305" w:rsidRDefault="00461EBB">
      <w:pPr>
        <w:pStyle w:val="BodyText"/>
        <w:spacing w:before="1"/>
        <w:ind w:left="880"/>
      </w:pPr>
      <w:r>
        <w:t xml:space="preserve">Class R6 </w:t>
      </w:r>
      <w:r w:rsidR="00C7221A">
        <w:t xml:space="preserve">and Class I </w:t>
      </w:r>
      <w:r>
        <w:t>shares of the Funds do not pay 12b-1 fees.</w:t>
      </w:r>
    </w:p>
    <w:p w14:paraId="4EBF1FAB" w14:textId="77777777" w:rsidR="00616305" w:rsidRDefault="00616305" w:rsidP="00924BC6">
      <w:pPr>
        <w:pStyle w:val="BodyText"/>
        <w:spacing w:before="1"/>
        <w:ind w:left="880"/>
        <w:rPr>
          <w:sz w:val="20"/>
        </w:rPr>
      </w:pPr>
    </w:p>
    <w:p w14:paraId="152EB88B" w14:textId="77777777" w:rsidR="00616305" w:rsidRDefault="00461EBB">
      <w:pPr>
        <w:pStyle w:val="BodyText"/>
        <w:spacing w:before="1"/>
        <w:ind w:left="160" w:right="115" w:firstLine="719"/>
        <w:jc w:val="both"/>
      </w:pPr>
      <w:r>
        <w:t>Distribution fees are paid to the Funds’ distributor, Quasar Distributors, LLC, 111 East Kilbourn</w:t>
      </w:r>
      <w:r>
        <w:rPr>
          <w:spacing w:val="-10"/>
        </w:rPr>
        <w:t xml:space="preserve"> </w:t>
      </w:r>
      <w:r>
        <w:t>Avenue,</w:t>
      </w:r>
      <w:r>
        <w:rPr>
          <w:spacing w:val="-10"/>
        </w:rPr>
        <w:t xml:space="preserve"> </w:t>
      </w:r>
      <w:r>
        <w:t>Suite</w:t>
      </w:r>
      <w:r>
        <w:rPr>
          <w:spacing w:val="-11"/>
        </w:rPr>
        <w:t xml:space="preserve"> </w:t>
      </w:r>
      <w:r>
        <w:t>2200,</w:t>
      </w:r>
      <w:r>
        <w:rPr>
          <w:spacing w:val="-10"/>
        </w:rPr>
        <w:t xml:space="preserve"> </w:t>
      </w:r>
      <w:r>
        <w:t>Milwaukee,</w:t>
      </w:r>
      <w:r>
        <w:rPr>
          <w:spacing w:val="-8"/>
        </w:rPr>
        <w:t xml:space="preserve"> </w:t>
      </w:r>
      <w:r>
        <w:t>Wisconsin</w:t>
      </w:r>
      <w:r>
        <w:rPr>
          <w:spacing w:val="-9"/>
        </w:rPr>
        <w:t xml:space="preserve"> </w:t>
      </w:r>
      <w:r>
        <w:t>53202,</w:t>
      </w:r>
      <w:r>
        <w:rPr>
          <w:spacing w:val="-10"/>
        </w:rPr>
        <w:t xml:space="preserve"> </w:t>
      </w:r>
      <w:r>
        <w:t>who,</w:t>
      </w:r>
      <w:r>
        <w:rPr>
          <w:spacing w:val="-11"/>
        </w:rPr>
        <w:t xml:space="preserve"> </w:t>
      </w:r>
      <w:r>
        <w:t>in</w:t>
      </w:r>
      <w:r>
        <w:rPr>
          <w:spacing w:val="-6"/>
        </w:rPr>
        <w:t xml:space="preserve"> </w:t>
      </w:r>
      <w:r>
        <w:t>turn,</w:t>
      </w:r>
      <w:r>
        <w:rPr>
          <w:spacing w:val="-10"/>
        </w:rPr>
        <w:t xml:space="preserve"> </w:t>
      </w:r>
      <w:r>
        <w:t>pays</w:t>
      </w:r>
      <w:r>
        <w:rPr>
          <w:spacing w:val="-10"/>
        </w:rPr>
        <w:t xml:space="preserve"> </w:t>
      </w:r>
      <w:r>
        <w:t>fees</w:t>
      </w:r>
      <w:r>
        <w:rPr>
          <w:spacing w:val="-10"/>
        </w:rPr>
        <w:t xml:space="preserve"> </w:t>
      </w:r>
      <w:r>
        <w:t>to</w:t>
      </w:r>
      <w:r>
        <w:rPr>
          <w:spacing w:val="-7"/>
        </w:rPr>
        <w:t xml:space="preserve"> </w:t>
      </w:r>
      <w:r>
        <w:t>the</w:t>
      </w:r>
      <w:r>
        <w:rPr>
          <w:spacing w:val="-11"/>
        </w:rPr>
        <w:t xml:space="preserve"> </w:t>
      </w:r>
      <w:r>
        <w:t>broker- dealer associated with the plan’s account. Quasar Distributors, LLC may retain any distribution fees paid attributable to a plan if there is no broker-dealer associated with the plan’s</w:t>
      </w:r>
      <w:r>
        <w:rPr>
          <w:spacing w:val="-16"/>
        </w:rPr>
        <w:t xml:space="preserve"> </w:t>
      </w:r>
      <w:r>
        <w:t>account.</w:t>
      </w:r>
    </w:p>
    <w:p w14:paraId="3C6A62AB" w14:textId="77777777" w:rsidR="00616305" w:rsidRDefault="00616305">
      <w:pPr>
        <w:pStyle w:val="BodyText"/>
        <w:spacing w:before="10"/>
        <w:rPr>
          <w:sz w:val="20"/>
        </w:rPr>
      </w:pPr>
    </w:p>
    <w:p w14:paraId="58582079" w14:textId="77777777" w:rsidR="00616305" w:rsidRDefault="00461EBB">
      <w:pPr>
        <w:pStyle w:val="BodyText"/>
        <w:ind w:left="160" w:right="401" w:firstLine="719"/>
      </w:pPr>
      <w:r>
        <w:t>The suggested Department of Labor Service Code for these services is 63 (Distribution (12b-1) Fees).</w:t>
      </w:r>
    </w:p>
    <w:p w14:paraId="47E2A071" w14:textId="77777777" w:rsidR="00616305" w:rsidRDefault="00616305">
      <w:pPr>
        <w:pStyle w:val="BodyText"/>
        <w:spacing w:before="10"/>
        <w:rPr>
          <w:sz w:val="20"/>
        </w:rPr>
      </w:pPr>
    </w:p>
    <w:p w14:paraId="5C31EAC3" w14:textId="77777777" w:rsidR="00616305" w:rsidRDefault="00461EBB">
      <w:pPr>
        <w:pStyle w:val="BodyText"/>
        <w:ind w:left="160"/>
      </w:pPr>
      <w:r>
        <w:rPr>
          <w:u w:val="single"/>
        </w:rPr>
        <w:t>Payments Made for Providing Services to Plan Investors or Plan Participants</w:t>
      </w:r>
    </w:p>
    <w:p w14:paraId="02082145" w14:textId="77777777" w:rsidR="00616305" w:rsidRDefault="00616305">
      <w:pPr>
        <w:pStyle w:val="BodyText"/>
        <w:spacing w:before="10"/>
        <w:rPr>
          <w:sz w:val="20"/>
        </w:rPr>
      </w:pPr>
    </w:p>
    <w:p w14:paraId="4D51F8A5" w14:textId="23D84B21" w:rsidR="00616305" w:rsidRDefault="00461EBB" w:rsidP="00924BC6">
      <w:pPr>
        <w:pStyle w:val="BodyText"/>
        <w:ind w:left="160" w:right="115" w:firstLine="740"/>
        <w:jc w:val="both"/>
      </w:pPr>
      <w:r>
        <w:t>For information regarding administrative fees paid by shares of a Fund for sub-transfer</w:t>
      </w:r>
      <w:r>
        <w:rPr>
          <w:spacing w:val="-13"/>
        </w:rPr>
        <w:t xml:space="preserve"> </w:t>
      </w:r>
      <w:r>
        <w:t>agency</w:t>
      </w:r>
      <w:r>
        <w:rPr>
          <w:spacing w:val="-12"/>
        </w:rPr>
        <w:t xml:space="preserve"> </w:t>
      </w:r>
      <w:r>
        <w:t>and</w:t>
      </w:r>
      <w:r>
        <w:rPr>
          <w:spacing w:val="-14"/>
        </w:rPr>
        <w:t xml:space="preserve"> </w:t>
      </w:r>
      <w:r>
        <w:t>other</w:t>
      </w:r>
      <w:r>
        <w:rPr>
          <w:spacing w:val="-13"/>
        </w:rPr>
        <w:t xml:space="preserve"> </w:t>
      </w:r>
      <w:r>
        <w:t>administrative</w:t>
      </w:r>
      <w:r>
        <w:rPr>
          <w:spacing w:val="-15"/>
        </w:rPr>
        <w:t xml:space="preserve"> </w:t>
      </w:r>
      <w:r>
        <w:t>services,</w:t>
      </w:r>
      <w:r>
        <w:rPr>
          <w:spacing w:val="-14"/>
        </w:rPr>
        <w:t xml:space="preserve"> </w:t>
      </w:r>
      <w:r>
        <w:t>please</w:t>
      </w:r>
      <w:r>
        <w:rPr>
          <w:spacing w:val="-13"/>
        </w:rPr>
        <w:t xml:space="preserve"> </w:t>
      </w:r>
      <w:r>
        <w:t>refer</w:t>
      </w:r>
      <w:r>
        <w:rPr>
          <w:spacing w:val="-15"/>
        </w:rPr>
        <w:t xml:space="preserve"> </w:t>
      </w:r>
      <w:r>
        <w:t>to</w:t>
      </w:r>
      <w:r>
        <w:rPr>
          <w:spacing w:val="-11"/>
        </w:rPr>
        <w:t xml:space="preserve"> </w:t>
      </w:r>
      <w:r>
        <w:t>the</w:t>
      </w:r>
      <w:r>
        <w:rPr>
          <w:spacing w:val="-12"/>
        </w:rPr>
        <w:t xml:space="preserve"> </w:t>
      </w:r>
      <w:r>
        <w:t>“Summary</w:t>
      </w:r>
      <w:r>
        <w:rPr>
          <w:spacing w:val="-15"/>
        </w:rPr>
        <w:t xml:space="preserve"> </w:t>
      </w:r>
      <w:r>
        <w:t>of</w:t>
      </w:r>
      <w:r>
        <w:rPr>
          <w:spacing w:val="-13"/>
        </w:rPr>
        <w:t xml:space="preserve"> </w:t>
      </w:r>
      <w:r>
        <w:t>Other</w:t>
      </w:r>
      <w:r>
        <w:rPr>
          <w:spacing w:val="-11"/>
        </w:rPr>
        <w:t xml:space="preserve"> </w:t>
      </w:r>
      <w:r>
        <w:t>Important Information</w:t>
      </w:r>
      <w:r>
        <w:rPr>
          <w:spacing w:val="35"/>
        </w:rPr>
        <w:t xml:space="preserve"> </w:t>
      </w:r>
      <w:r>
        <w:t>Regarding</w:t>
      </w:r>
      <w:r>
        <w:rPr>
          <w:spacing w:val="38"/>
        </w:rPr>
        <w:t xml:space="preserve"> </w:t>
      </w:r>
      <w:r>
        <w:t>Fund</w:t>
      </w:r>
      <w:r>
        <w:rPr>
          <w:spacing w:val="36"/>
        </w:rPr>
        <w:t xml:space="preserve"> </w:t>
      </w:r>
      <w:r>
        <w:t>Shares</w:t>
      </w:r>
      <w:r>
        <w:rPr>
          <w:spacing w:val="37"/>
        </w:rPr>
        <w:t xml:space="preserve"> </w:t>
      </w:r>
      <w:r>
        <w:t>–</w:t>
      </w:r>
      <w:r>
        <w:rPr>
          <w:spacing w:val="36"/>
        </w:rPr>
        <w:t xml:space="preserve"> </w:t>
      </w:r>
      <w:r>
        <w:t>Payments</w:t>
      </w:r>
      <w:r>
        <w:rPr>
          <w:spacing w:val="36"/>
        </w:rPr>
        <w:t xml:space="preserve"> </w:t>
      </w:r>
      <w:r>
        <w:t>to</w:t>
      </w:r>
      <w:r>
        <w:rPr>
          <w:spacing w:val="35"/>
        </w:rPr>
        <w:t xml:space="preserve"> </w:t>
      </w:r>
      <w:r>
        <w:t>Broker-Dealers</w:t>
      </w:r>
      <w:r>
        <w:rPr>
          <w:spacing w:val="37"/>
        </w:rPr>
        <w:t xml:space="preserve"> </w:t>
      </w:r>
      <w:r>
        <w:t>and</w:t>
      </w:r>
      <w:r>
        <w:rPr>
          <w:spacing w:val="36"/>
        </w:rPr>
        <w:t xml:space="preserve"> </w:t>
      </w:r>
      <w:r>
        <w:t>Other</w:t>
      </w:r>
      <w:r>
        <w:rPr>
          <w:spacing w:val="35"/>
        </w:rPr>
        <w:t xml:space="preserve"> </w:t>
      </w:r>
      <w:r>
        <w:t>Financial</w:t>
      </w:r>
      <w:r w:rsidR="00924BC6">
        <w:t xml:space="preserve"> </w:t>
      </w:r>
      <w:r>
        <w:t xml:space="preserve">Intermediaries”, “How to Buy Shares – Distribution and Rule 12b-1 Fees (Class A, Class C, and </w:t>
      </w:r>
      <w:r>
        <w:lastRenderedPageBreak/>
        <w:t>Class N Shares Only); Other Distribution-Related Payments to Financial Intermediaries” and “How</w:t>
      </w:r>
      <w:r>
        <w:rPr>
          <w:spacing w:val="-8"/>
        </w:rPr>
        <w:t xml:space="preserve"> </w:t>
      </w:r>
      <w:r>
        <w:t>to</w:t>
      </w:r>
      <w:r>
        <w:rPr>
          <w:spacing w:val="-7"/>
        </w:rPr>
        <w:t xml:space="preserve"> </w:t>
      </w:r>
      <w:r>
        <w:t>Buy</w:t>
      </w:r>
      <w:r>
        <w:rPr>
          <w:spacing w:val="-6"/>
        </w:rPr>
        <w:t xml:space="preserve"> </w:t>
      </w:r>
      <w:r>
        <w:t>Shares</w:t>
      </w:r>
      <w:r>
        <w:rPr>
          <w:spacing w:val="-7"/>
        </w:rPr>
        <w:t xml:space="preserve"> </w:t>
      </w:r>
      <w:r>
        <w:t>–</w:t>
      </w:r>
      <w:r>
        <w:rPr>
          <w:spacing w:val="-7"/>
        </w:rPr>
        <w:t xml:space="preserve"> </w:t>
      </w:r>
      <w:r>
        <w:t>Payments</w:t>
      </w:r>
      <w:r>
        <w:rPr>
          <w:spacing w:val="-6"/>
        </w:rPr>
        <w:t xml:space="preserve"> </w:t>
      </w:r>
      <w:r>
        <w:t>to</w:t>
      </w:r>
      <w:r>
        <w:rPr>
          <w:spacing w:val="-7"/>
        </w:rPr>
        <w:t xml:space="preserve"> </w:t>
      </w:r>
      <w:r>
        <w:t>Financial</w:t>
      </w:r>
      <w:r>
        <w:rPr>
          <w:spacing w:val="-7"/>
        </w:rPr>
        <w:t xml:space="preserve"> </w:t>
      </w:r>
      <w:r>
        <w:t>Intermediaries</w:t>
      </w:r>
      <w:r>
        <w:rPr>
          <w:spacing w:val="-6"/>
        </w:rPr>
        <w:t xml:space="preserve"> </w:t>
      </w:r>
      <w:r>
        <w:t>for</w:t>
      </w:r>
      <w:r>
        <w:rPr>
          <w:spacing w:val="-9"/>
        </w:rPr>
        <w:t xml:space="preserve"> </w:t>
      </w:r>
      <w:r>
        <w:t>Shareholder</w:t>
      </w:r>
      <w:r>
        <w:rPr>
          <w:spacing w:val="-7"/>
        </w:rPr>
        <w:t xml:space="preserve"> </w:t>
      </w:r>
      <w:r>
        <w:t>Services”</w:t>
      </w:r>
      <w:r>
        <w:rPr>
          <w:spacing w:val="-8"/>
        </w:rPr>
        <w:t xml:space="preserve"> </w:t>
      </w:r>
      <w:r>
        <w:t>sections</w:t>
      </w:r>
      <w:r>
        <w:rPr>
          <w:spacing w:val="-7"/>
        </w:rPr>
        <w:t xml:space="preserve"> </w:t>
      </w:r>
      <w:r>
        <w:t>of the Prospectus, the “Distribution of Trust Shares”</w:t>
      </w:r>
      <w:r w:rsidR="008F75F1">
        <w:t xml:space="preserve"> and “Shareholder Servicing Arrangements”</w:t>
      </w:r>
      <w:r>
        <w:t xml:space="preserve"> section</w:t>
      </w:r>
      <w:r w:rsidR="008F75F1">
        <w:t>s</w:t>
      </w:r>
      <w:r>
        <w:t xml:space="preserve"> of the SAI and the</w:t>
      </w:r>
      <w:r>
        <w:rPr>
          <w:spacing w:val="-17"/>
        </w:rPr>
        <w:t xml:space="preserve"> </w:t>
      </w:r>
      <w:r>
        <w:t>applicable</w:t>
      </w:r>
      <w:r>
        <w:rPr>
          <w:spacing w:val="-14"/>
        </w:rPr>
        <w:t xml:space="preserve"> </w:t>
      </w:r>
      <w:r>
        <w:t>Fund’s</w:t>
      </w:r>
      <w:r>
        <w:rPr>
          <w:spacing w:val="-16"/>
        </w:rPr>
        <w:t xml:space="preserve"> </w:t>
      </w:r>
      <w:r>
        <w:t>“Statement</w:t>
      </w:r>
      <w:r>
        <w:rPr>
          <w:spacing w:val="-16"/>
        </w:rPr>
        <w:t xml:space="preserve"> </w:t>
      </w:r>
      <w:r>
        <w:t>of</w:t>
      </w:r>
      <w:r>
        <w:rPr>
          <w:spacing w:val="-17"/>
        </w:rPr>
        <w:t xml:space="preserve"> </w:t>
      </w:r>
      <w:r>
        <w:t>Operations”</w:t>
      </w:r>
      <w:r>
        <w:rPr>
          <w:spacing w:val="-17"/>
        </w:rPr>
        <w:t xml:space="preserve"> </w:t>
      </w:r>
      <w:r>
        <w:t>section</w:t>
      </w:r>
      <w:r>
        <w:rPr>
          <w:spacing w:val="-17"/>
        </w:rPr>
        <w:t xml:space="preserve"> </w:t>
      </w:r>
      <w:r>
        <w:t>in</w:t>
      </w:r>
      <w:r>
        <w:rPr>
          <w:spacing w:val="-15"/>
        </w:rPr>
        <w:t xml:space="preserve"> </w:t>
      </w:r>
      <w:r>
        <w:t>the</w:t>
      </w:r>
      <w:r>
        <w:rPr>
          <w:spacing w:val="-16"/>
        </w:rPr>
        <w:t xml:space="preserve"> </w:t>
      </w:r>
      <w:r>
        <w:t>annual</w:t>
      </w:r>
      <w:r>
        <w:rPr>
          <w:spacing w:val="-16"/>
        </w:rPr>
        <w:t xml:space="preserve"> </w:t>
      </w:r>
      <w:r>
        <w:t>report</w:t>
      </w:r>
      <w:r>
        <w:rPr>
          <w:spacing w:val="-14"/>
        </w:rPr>
        <w:t xml:space="preserve"> </w:t>
      </w:r>
      <w:r>
        <w:t>to</w:t>
      </w:r>
      <w:r>
        <w:rPr>
          <w:spacing w:val="-15"/>
        </w:rPr>
        <w:t xml:space="preserve"> </w:t>
      </w:r>
      <w:r>
        <w:t>shareholders.</w:t>
      </w:r>
      <w:r>
        <w:rPr>
          <w:spacing w:val="28"/>
        </w:rPr>
        <w:t xml:space="preserve"> </w:t>
      </w:r>
      <w:r>
        <w:t>Class R6</w:t>
      </w:r>
      <w:r>
        <w:rPr>
          <w:spacing w:val="-14"/>
        </w:rPr>
        <w:t xml:space="preserve"> </w:t>
      </w:r>
      <w:r>
        <w:t>shares</w:t>
      </w:r>
      <w:r>
        <w:rPr>
          <w:spacing w:val="-13"/>
        </w:rPr>
        <w:t xml:space="preserve"> </w:t>
      </w:r>
      <w:r>
        <w:t>of</w:t>
      </w:r>
      <w:r>
        <w:rPr>
          <w:spacing w:val="-15"/>
        </w:rPr>
        <w:t xml:space="preserve"> </w:t>
      </w:r>
      <w:r>
        <w:t>the</w:t>
      </w:r>
      <w:r>
        <w:rPr>
          <w:spacing w:val="-14"/>
        </w:rPr>
        <w:t xml:space="preserve"> </w:t>
      </w:r>
      <w:r>
        <w:t>Funds</w:t>
      </w:r>
      <w:r>
        <w:rPr>
          <w:spacing w:val="-13"/>
        </w:rPr>
        <w:t xml:space="preserve"> </w:t>
      </w:r>
      <w:r>
        <w:t>do</w:t>
      </w:r>
      <w:r>
        <w:rPr>
          <w:spacing w:val="-14"/>
        </w:rPr>
        <w:t xml:space="preserve"> </w:t>
      </w:r>
      <w:r>
        <w:t>not</w:t>
      </w:r>
      <w:r>
        <w:rPr>
          <w:spacing w:val="-13"/>
        </w:rPr>
        <w:t xml:space="preserve"> </w:t>
      </w:r>
      <w:r>
        <w:t>make</w:t>
      </w:r>
      <w:r>
        <w:rPr>
          <w:spacing w:val="-15"/>
        </w:rPr>
        <w:t xml:space="preserve"> </w:t>
      </w:r>
      <w:r>
        <w:t>payments</w:t>
      </w:r>
      <w:r>
        <w:rPr>
          <w:spacing w:val="-14"/>
        </w:rPr>
        <w:t xml:space="preserve"> </w:t>
      </w:r>
      <w:r>
        <w:t>to</w:t>
      </w:r>
      <w:r>
        <w:rPr>
          <w:spacing w:val="-13"/>
        </w:rPr>
        <w:t xml:space="preserve"> </w:t>
      </w:r>
      <w:r>
        <w:t>financial</w:t>
      </w:r>
      <w:r>
        <w:rPr>
          <w:spacing w:val="-13"/>
        </w:rPr>
        <w:t xml:space="preserve"> </w:t>
      </w:r>
      <w:r>
        <w:t>intermediaries</w:t>
      </w:r>
      <w:r>
        <w:rPr>
          <w:spacing w:val="-14"/>
        </w:rPr>
        <w:t xml:space="preserve"> </w:t>
      </w:r>
      <w:r>
        <w:t>to</w:t>
      </w:r>
      <w:r>
        <w:rPr>
          <w:spacing w:val="-13"/>
        </w:rPr>
        <w:t xml:space="preserve"> </w:t>
      </w:r>
      <w:r>
        <w:t>provide</w:t>
      </w:r>
      <w:r>
        <w:rPr>
          <w:spacing w:val="-16"/>
        </w:rPr>
        <w:t xml:space="preserve"> </w:t>
      </w:r>
      <w:r>
        <w:t>administrative, recordkeeping or similar services in respect of plan investors or other beneficial shareholders (or any compensation in respect of such services provided by</w:t>
      </w:r>
      <w:r>
        <w:rPr>
          <w:spacing w:val="-2"/>
        </w:rPr>
        <w:t xml:space="preserve"> </w:t>
      </w:r>
      <w:r>
        <w:t>others).</w:t>
      </w:r>
    </w:p>
    <w:p w14:paraId="5CBCC225" w14:textId="77777777" w:rsidR="00616305" w:rsidRDefault="00616305">
      <w:pPr>
        <w:pStyle w:val="BodyText"/>
        <w:spacing w:before="10"/>
        <w:rPr>
          <w:sz w:val="20"/>
        </w:rPr>
      </w:pPr>
    </w:p>
    <w:p w14:paraId="5070F2B0" w14:textId="77777777" w:rsidR="00616305" w:rsidRDefault="00461EBB">
      <w:pPr>
        <w:pStyle w:val="BodyText"/>
        <w:ind w:left="160" w:right="121" w:firstLine="719"/>
        <w:jc w:val="both"/>
      </w:pPr>
      <w:r>
        <w:t>The suggested Department of Labor Service Codes for these services are 15 (Recordkeeping and Information Management (computing, tabulating, data processing, etc.)), 59 (Shareholder servicing fees), 60 (Sub-transfer agency fees), 64 (Recordkeeping fees), and 65 (Account maintenance fees).</w:t>
      </w:r>
    </w:p>
    <w:p w14:paraId="181B1D56" w14:textId="77777777" w:rsidR="00616305" w:rsidRDefault="00616305">
      <w:pPr>
        <w:pStyle w:val="BodyText"/>
        <w:spacing w:before="11"/>
        <w:rPr>
          <w:sz w:val="20"/>
        </w:rPr>
      </w:pPr>
    </w:p>
    <w:p w14:paraId="63412616" w14:textId="77777777" w:rsidR="00616305" w:rsidRDefault="00461EBB">
      <w:pPr>
        <w:pStyle w:val="BodyText"/>
        <w:ind w:left="160"/>
        <w:jc w:val="both"/>
      </w:pPr>
      <w:r>
        <w:rPr>
          <w:u w:val="single"/>
        </w:rPr>
        <w:t>Additional Reportable Payments or Compensation Paid by any Fund or the Adviser</w:t>
      </w:r>
    </w:p>
    <w:p w14:paraId="555EFC86" w14:textId="77777777" w:rsidR="00616305" w:rsidRDefault="00616305">
      <w:pPr>
        <w:pStyle w:val="BodyText"/>
        <w:spacing w:before="10"/>
        <w:rPr>
          <w:sz w:val="20"/>
        </w:rPr>
      </w:pPr>
    </w:p>
    <w:p w14:paraId="380A750D" w14:textId="077E8195" w:rsidR="00616305" w:rsidRDefault="00461EBB">
      <w:pPr>
        <w:pStyle w:val="BodyText"/>
        <w:ind w:left="160" w:right="114" w:firstLine="719"/>
        <w:jc w:val="both"/>
      </w:pPr>
      <w:r>
        <w:t>For</w:t>
      </w:r>
      <w:r>
        <w:rPr>
          <w:spacing w:val="-5"/>
        </w:rPr>
        <w:t xml:space="preserve"> </w:t>
      </w:r>
      <w:r>
        <w:t>information</w:t>
      </w:r>
      <w:r>
        <w:rPr>
          <w:spacing w:val="-3"/>
        </w:rPr>
        <w:t xml:space="preserve"> </w:t>
      </w:r>
      <w:r>
        <w:t>regarding</w:t>
      </w:r>
      <w:r>
        <w:rPr>
          <w:spacing w:val="-4"/>
        </w:rPr>
        <w:t xml:space="preserve"> </w:t>
      </w:r>
      <w:r>
        <w:t>fees</w:t>
      </w:r>
      <w:r>
        <w:rPr>
          <w:spacing w:val="-3"/>
        </w:rPr>
        <w:t xml:space="preserve"> </w:t>
      </w:r>
      <w:r>
        <w:t>that</w:t>
      </w:r>
      <w:r>
        <w:rPr>
          <w:spacing w:val="-3"/>
        </w:rPr>
        <w:t xml:space="preserve"> </w:t>
      </w:r>
      <w:r>
        <w:t>may</w:t>
      </w:r>
      <w:r>
        <w:rPr>
          <w:spacing w:val="-4"/>
        </w:rPr>
        <w:t xml:space="preserve"> </w:t>
      </w:r>
      <w:r>
        <w:t>be</w:t>
      </w:r>
      <w:r>
        <w:rPr>
          <w:spacing w:val="-4"/>
        </w:rPr>
        <w:t xml:space="preserve"> </w:t>
      </w:r>
      <w:r>
        <w:t>paid</w:t>
      </w:r>
      <w:r>
        <w:rPr>
          <w:spacing w:val="-3"/>
        </w:rPr>
        <w:t xml:space="preserve"> </w:t>
      </w:r>
      <w:r>
        <w:t>by</w:t>
      </w:r>
      <w:r>
        <w:rPr>
          <w:spacing w:val="-3"/>
        </w:rPr>
        <w:t xml:space="preserve"> </w:t>
      </w:r>
      <w:r>
        <w:t>the</w:t>
      </w:r>
      <w:r>
        <w:rPr>
          <w:spacing w:val="-3"/>
        </w:rPr>
        <w:t xml:space="preserve"> </w:t>
      </w:r>
      <w:r>
        <w:t>Adviser</w:t>
      </w:r>
      <w:r>
        <w:rPr>
          <w:spacing w:val="-5"/>
        </w:rPr>
        <w:t xml:space="preserve"> </w:t>
      </w:r>
      <w:r>
        <w:t>at</w:t>
      </w:r>
      <w:r>
        <w:rPr>
          <w:spacing w:val="-2"/>
        </w:rPr>
        <w:t xml:space="preserve"> </w:t>
      </w:r>
      <w:r>
        <w:t>its</w:t>
      </w:r>
      <w:r>
        <w:rPr>
          <w:spacing w:val="-3"/>
        </w:rPr>
        <w:t xml:space="preserve"> </w:t>
      </w:r>
      <w:r>
        <w:t>own</w:t>
      </w:r>
      <w:r>
        <w:rPr>
          <w:spacing w:val="-4"/>
        </w:rPr>
        <w:t xml:space="preserve"> </w:t>
      </w:r>
      <w:r>
        <w:t>expense</w:t>
      </w:r>
      <w:r>
        <w:rPr>
          <w:spacing w:val="-4"/>
        </w:rPr>
        <w:t xml:space="preserve"> </w:t>
      </w:r>
      <w:r>
        <w:t>and</w:t>
      </w:r>
      <w:r>
        <w:rPr>
          <w:spacing w:val="-4"/>
        </w:rPr>
        <w:t xml:space="preserve"> </w:t>
      </w:r>
      <w:r>
        <w:t>out of</w:t>
      </w:r>
      <w:r>
        <w:rPr>
          <w:spacing w:val="-12"/>
        </w:rPr>
        <w:t xml:space="preserve"> </w:t>
      </w:r>
      <w:r>
        <w:t>its</w:t>
      </w:r>
      <w:r>
        <w:rPr>
          <w:spacing w:val="-10"/>
        </w:rPr>
        <w:t xml:space="preserve"> </w:t>
      </w:r>
      <w:r>
        <w:t>own</w:t>
      </w:r>
      <w:r>
        <w:rPr>
          <w:spacing w:val="-12"/>
        </w:rPr>
        <w:t xml:space="preserve"> </w:t>
      </w:r>
      <w:r>
        <w:t>revenues</w:t>
      </w:r>
      <w:r>
        <w:rPr>
          <w:spacing w:val="-8"/>
        </w:rPr>
        <w:t xml:space="preserve"> </w:t>
      </w:r>
      <w:r>
        <w:t>in</w:t>
      </w:r>
      <w:r>
        <w:rPr>
          <w:spacing w:val="-10"/>
        </w:rPr>
        <w:t xml:space="preserve"> </w:t>
      </w:r>
      <w:r>
        <w:t>connection</w:t>
      </w:r>
      <w:r>
        <w:rPr>
          <w:spacing w:val="-11"/>
        </w:rPr>
        <w:t xml:space="preserve"> </w:t>
      </w:r>
      <w:r>
        <w:t>with</w:t>
      </w:r>
      <w:r>
        <w:rPr>
          <w:spacing w:val="-10"/>
        </w:rPr>
        <w:t xml:space="preserve"> </w:t>
      </w:r>
      <w:r>
        <w:t>the</w:t>
      </w:r>
      <w:r>
        <w:rPr>
          <w:spacing w:val="-11"/>
        </w:rPr>
        <w:t xml:space="preserve"> </w:t>
      </w:r>
      <w:r>
        <w:t>sale</w:t>
      </w:r>
      <w:r>
        <w:rPr>
          <w:spacing w:val="-10"/>
        </w:rPr>
        <w:t xml:space="preserve"> </w:t>
      </w:r>
      <w:r>
        <w:t>and</w:t>
      </w:r>
      <w:r>
        <w:rPr>
          <w:spacing w:val="-11"/>
        </w:rPr>
        <w:t xml:space="preserve"> </w:t>
      </w:r>
      <w:r>
        <w:t>distribution</w:t>
      </w:r>
      <w:r>
        <w:rPr>
          <w:spacing w:val="-10"/>
        </w:rPr>
        <w:t xml:space="preserve"> </w:t>
      </w:r>
      <w:r>
        <w:t>of</w:t>
      </w:r>
      <w:r>
        <w:rPr>
          <w:spacing w:val="-11"/>
        </w:rPr>
        <w:t xml:space="preserve"> </w:t>
      </w:r>
      <w:r>
        <w:t>the</w:t>
      </w:r>
      <w:r>
        <w:rPr>
          <w:spacing w:val="-11"/>
        </w:rPr>
        <w:t xml:space="preserve"> </w:t>
      </w:r>
      <w:r>
        <w:t>Funds’</w:t>
      </w:r>
      <w:r>
        <w:rPr>
          <w:spacing w:val="-11"/>
        </w:rPr>
        <w:t xml:space="preserve"> </w:t>
      </w:r>
      <w:r>
        <w:t>shares</w:t>
      </w:r>
      <w:r>
        <w:rPr>
          <w:spacing w:val="-10"/>
        </w:rPr>
        <w:t xml:space="preserve"> </w:t>
      </w:r>
      <w:r>
        <w:t>or</w:t>
      </w:r>
      <w:r>
        <w:rPr>
          <w:spacing w:val="-9"/>
        </w:rPr>
        <w:t xml:space="preserve"> </w:t>
      </w:r>
      <w:r>
        <w:t>for</w:t>
      </w:r>
      <w:r>
        <w:rPr>
          <w:spacing w:val="-12"/>
        </w:rPr>
        <w:t xml:space="preserve"> </w:t>
      </w:r>
      <w:r>
        <w:t>services to</w:t>
      </w:r>
      <w:r>
        <w:rPr>
          <w:spacing w:val="-9"/>
        </w:rPr>
        <w:t xml:space="preserve"> </w:t>
      </w:r>
      <w:r>
        <w:t>the</w:t>
      </w:r>
      <w:r>
        <w:rPr>
          <w:spacing w:val="-9"/>
        </w:rPr>
        <w:t xml:space="preserve"> </w:t>
      </w:r>
      <w:r>
        <w:t>Funds</w:t>
      </w:r>
      <w:r>
        <w:rPr>
          <w:spacing w:val="-8"/>
        </w:rPr>
        <w:t xml:space="preserve"> </w:t>
      </w:r>
      <w:r>
        <w:t>and</w:t>
      </w:r>
      <w:r>
        <w:rPr>
          <w:spacing w:val="-9"/>
        </w:rPr>
        <w:t xml:space="preserve"> </w:t>
      </w:r>
      <w:r>
        <w:t>their</w:t>
      </w:r>
      <w:r>
        <w:rPr>
          <w:spacing w:val="-9"/>
        </w:rPr>
        <w:t xml:space="preserve"> </w:t>
      </w:r>
      <w:r>
        <w:t>shareholders,</w:t>
      </w:r>
      <w:r>
        <w:rPr>
          <w:spacing w:val="-9"/>
        </w:rPr>
        <w:t xml:space="preserve"> </w:t>
      </w:r>
      <w:r>
        <w:t>including</w:t>
      </w:r>
      <w:r>
        <w:rPr>
          <w:spacing w:val="-8"/>
        </w:rPr>
        <w:t xml:space="preserve"> </w:t>
      </w:r>
      <w:r>
        <w:t>a</w:t>
      </w:r>
      <w:r>
        <w:rPr>
          <w:spacing w:val="-10"/>
        </w:rPr>
        <w:t xml:space="preserve"> </w:t>
      </w:r>
      <w:r>
        <w:t>list</w:t>
      </w:r>
      <w:r>
        <w:rPr>
          <w:spacing w:val="-8"/>
        </w:rPr>
        <w:t xml:space="preserve"> </w:t>
      </w:r>
      <w:r>
        <w:t>of</w:t>
      </w:r>
      <w:r>
        <w:rPr>
          <w:spacing w:val="-9"/>
        </w:rPr>
        <w:t xml:space="preserve"> </w:t>
      </w:r>
      <w:r>
        <w:t>recipients</w:t>
      </w:r>
      <w:r>
        <w:rPr>
          <w:spacing w:val="-8"/>
        </w:rPr>
        <w:t xml:space="preserve"> </w:t>
      </w:r>
      <w:r>
        <w:t>of</w:t>
      </w:r>
      <w:r>
        <w:rPr>
          <w:spacing w:val="-10"/>
        </w:rPr>
        <w:t xml:space="preserve"> </w:t>
      </w:r>
      <w:r>
        <w:t>such</w:t>
      </w:r>
      <w:r>
        <w:rPr>
          <w:spacing w:val="-9"/>
        </w:rPr>
        <w:t xml:space="preserve"> </w:t>
      </w:r>
      <w:r>
        <w:t>fees</w:t>
      </w:r>
      <w:r>
        <w:rPr>
          <w:spacing w:val="-6"/>
        </w:rPr>
        <w:t xml:space="preserve"> </w:t>
      </w:r>
      <w:r>
        <w:t>as</w:t>
      </w:r>
      <w:r>
        <w:rPr>
          <w:spacing w:val="-8"/>
        </w:rPr>
        <w:t xml:space="preserve"> </w:t>
      </w:r>
      <w:r>
        <w:t>of</w:t>
      </w:r>
      <w:r>
        <w:rPr>
          <w:spacing w:val="-9"/>
        </w:rPr>
        <w:t xml:space="preserve"> </w:t>
      </w:r>
      <w:r>
        <w:t>a</w:t>
      </w:r>
      <w:r>
        <w:rPr>
          <w:spacing w:val="-10"/>
        </w:rPr>
        <w:t xml:space="preserve"> </w:t>
      </w:r>
      <w:r>
        <w:t>specified</w:t>
      </w:r>
      <w:r>
        <w:rPr>
          <w:spacing w:val="-10"/>
        </w:rPr>
        <w:t xml:space="preserve"> </w:t>
      </w:r>
      <w:r>
        <w:t>date, please see the “Payments</w:t>
      </w:r>
      <w:r>
        <w:rPr>
          <w:spacing w:val="-31"/>
        </w:rPr>
        <w:t xml:space="preserve"> </w:t>
      </w:r>
      <w:r>
        <w:t>by the Advisers” section of the SAI, the “How to Buy Shares – Payments to Financial Intermediaries”, the</w:t>
      </w:r>
      <w:r w:rsidR="00057EF0">
        <w:t xml:space="preserve"> “How to Buy Shares – Distribution and Rule 12b-1 Fees (Class A, Class C, and Class N Shares Only); Other Distribution-Related Payments to Financial Intermediaries,” the</w:t>
      </w:r>
      <w:r>
        <w:t xml:space="preserve"> “How to Buy Shares – Other Payments to Financial Intermediaries” and the “How</w:t>
      </w:r>
      <w:r>
        <w:rPr>
          <w:spacing w:val="-8"/>
        </w:rPr>
        <w:t xml:space="preserve"> </w:t>
      </w:r>
      <w:r>
        <w:t>to</w:t>
      </w:r>
      <w:r>
        <w:rPr>
          <w:spacing w:val="-7"/>
        </w:rPr>
        <w:t xml:space="preserve"> </w:t>
      </w:r>
      <w:r>
        <w:t>Buy</w:t>
      </w:r>
      <w:r>
        <w:rPr>
          <w:spacing w:val="-6"/>
        </w:rPr>
        <w:t xml:space="preserve"> </w:t>
      </w:r>
      <w:r>
        <w:t>Shares</w:t>
      </w:r>
      <w:r>
        <w:rPr>
          <w:spacing w:val="-7"/>
        </w:rPr>
        <w:t xml:space="preserve"> </w:t>
      </w:r>
      <w:r>
        <w:t>–</w:t>
      </w:r>
      <w:r>
        <w:rPr>
          <w:spacing w:val="-6"/>
        </w:rPr>
        <w:t xml:space="preserve"> </w:t>
      </w:r>
      <w:r>
        <w:t>Payments</w:t>
      </w:r>
      <w:r>
        <w:rPr>
          <w:spacing w:val="-7"/>
        </w:rPr>
        <w:t xml:space="preserve"> </w:t>
      </w:r>
      <w:r>
        <w:t>to</w:t>
      </w:r>
      <w:r>
        <w:rPr>
          <w:spacing w:val="-6"/>
        </w:rPr>
        <w:t xml:space="preserve"> </w:t>
      </w:r>
      <w:r>
        <w:t>Financial</w:t>
      </w:r>
      <w:r>
        <w:rPr>
          <w:spacing w:val="-7"/>
        </w:rPr>
        <w:t xml:space="preserve"> </w:t>
      </w:r>
      <w:r>
        <w:t>Intermediaries</w:t>
      </w:r>
      <w:r>
        <w:rPr>
          <w:spacing w:val="-7"/>
        </w:rPr>
        <w:t xml:space="preserve"> </w:t>
      </w:r>
      <w:r>
        <w:t>for</w:t>
      </w:r>
      <w:r>
        <w:rPr>
          <w:spacing w:val="-8"/>
        </w:rPr>
        <w:t xml:space="preserve"> </w:t>
      </w:r>
      <w:r>
        <w:t>Shareholder</w:t>
      </w:r>
      <w:r>
        <w:rPr>
          <w:spacing w:val="-8"/>
        </w:rPr>
        <w:t xml:space="preserve"> </w:t>
      </w:r>
      <w:r>
        <w:t>Services”</w:t>
      </w:r>
      <w:r>
        <w:rPr>
          <w:spacing w:val="-7"/>
        </w:rPr>
        <w:t xml:space="preserve"> </w:t>
      </w:r>
      <w:r>
        <w:t>sections</w:t>
      </w:r>
      <w:r>
        <w:rPr>
          <w:spacing w:val="-7"/>
        </w:rPr>
        <w:t xml:space="preserve"> </w:t>
      </w:r>
      <w:r>
        <w:t>of the Prospectus. For additional information, please consult</w:t>
      </w:r>
      <w:r>
        <w:rPr>
          <w:spacing w:val="-6"/>
        </w:rPr>
        <w:t xml:space="preserve"> </w:t>
      </w:r>
      <w:r>
        <w:t>your</w:t>
      </w:r>
      <w:r>
        <w:rPr>
          <w:spacing w:val="-7"/>
        </w:rPr>
        <w:t xml:space="preserve"> </w:t>
      </w:r>
      <w:r>
        <w:t>financial</w:t>
      </w:r>
      <w:r>
        <w:rPr>
          <w:spacing w:val="-4"/>
        </w:rPr>
        <w:t xml:space="preserve"> </w:t>
      </w:r>
      <w:r>
        <w:t>advisor</w:t>
      </w:r>
      <w:r>
        <w:rPr>
          <w:spacing w:val="-6"/>
        </w:rPr>
        <w:t xml:space="preserve"> </w:t>
      </w:r>
      <w:r>
        <w:t>or</w:t>
      </w:r>
      <w:r>
        <w:rPr>
          <w:spacing w:val="-7"/>
        </w:rPr>
        <w:t xml:space="preserve"> </w:t>
      </w:r>
      <w:r>
        <w:t>financial</w:t>
      </w:r>
      <w:r>
        <w:rPr>
          <w:spacing w:val="-5"/>
        </w:rPr>
        <w:t xml:space="preserve"> </w:t>
      </w:r>
      <w:r>
        <w:t>intermediary</w:t>
      </w:r>
      <w:r>
        <w:rPr>
          <w:spacing w:val="-6"/>
        </w:rPr>
        <w:t xml:space="preserve"> </w:t>
      </w:r>
      <w:r>
        <w:t>to</w:t>
      </w:r>
      <w:r>
        <w:rPr>
          <w:spacing w:val="-6"/>
        </w:rPr>
        <w:t xml:space="preserve"> </w:t>
      </w:r>
      <w:r>
        <w:t>learn</w:t>
      </w:r>
      <w:r>
        <w:rPr>
          <w:spacing w:val="-7"/>
        </w:rPr>
        <w:t xml:space="preserve"> </w:t>
      </w:r>
      <w:r>
        <w:t>more</w:t>
      </w:r>
      <w:r>
        <w:rPr>
          <w:spacing w:val="-8"/>
        </w:rPr>
        <w:t xml:space="preserve"> </w:t>
      </w:r>
      <w:r>
        <w:t>about</w:t>
      </w:r>
      <w:r>
        <w:rPr>
          <w:spacing w:val="-4"/>
        </w:rPr>
        <w:t xml:space="preserve"> </w:t>
      </w:r>
      <w:r>
        <w:t>the</w:t>
      </w:r>
      <w:r>
        <w:rPr>
          <w:spacing w:val="-6"/>
        </w:rPr>
        <w:t xml:space="preserve"> </w:t>
      </w:r>
      <w:r>
        <w:t>total</w:t>
      </w:r>
      <w:r>
        <w:rPr>
          <w:spacing w:val="-6"/>
        </w:rPr>
        <w:t xml:space="preserve"> </w:t>
      </w:r>
      <w:r>
        <w:t>amounts</w:t>
      </w:r>
      <w:r>
        <w:rPr>
          <w:spacing w:val="-6"/>
        </w:rPr>
        <w:t xml:space="preserve"> </w:t>
      </w:r>
      <w:r>
        <w:t>paid to your financial advisor or financial intermediary in respect of shares of a Fund. You should</w:t>
      </w:r>
      <w:r>
        <w:rPr>
          <w:spacing w:val="-16"/>
        </w:rPr>
        <w:t xml:space="preserve"> </w:t>
      </w:r>
      <w:r>
        <w:t>also consult any disclosures made by your financial intermediary at the time of</w:t>
      </w:r>
      <w:r>
        <w:rPr>
          <w:spacing w:val="-6"/>
        </w:rPr>
        <w:t xml:space="preserve"> </w:t>
      </w:r>
      <w:r>
        <w:t>purchase.</w:t>
      </w:r>
    </w:p>
    <w:p w14:paraId="04393B6F" w14:textId="77777777" w:rsidR="00616305" w:rsidRDefault="00616305">
      <w:pPr>
        <w:pStyle w:val="BodyText"/>
        <w:spacing w:before="11"/>
        <w:rPr>
          <w:sz w:val="20"/>
        </w:rPr>
      </w:pPr>
    </w:p>
    <w:p w14:paraId="22A9BE49" w14:textId="77777777" w:rsidR="00616305" w:rsidRDefault="00461EBB">
      <w:pPr>
        <w:pStyle w:val="BodyText"/>
        <w:ind w:left="160" w:right="115" w:firstLine="719"/>
        <w:jc w:val="both"/>
      </w:pPr>
      <w:r>
        <w:t>The</w:t>
      </w:r>
      <w:r>
        <w:rPr>
          <w:spacing w:val="-17"/>
        </w:rPr>
        <w:t xml:space="preserve"> </w:t>
      </w:r>
      <w:r>
        <w:t>suggested</w:t>
      </w:r>
      <w:r>
        <w:rPr>
          <w:spacing w:val="-15"/>
        </w:rPr>
        <w:t xml:space="preserve"> </w:t>
      </w:r>
      <w:r>
        <w:t>Department</w:t>
      </w:r>
      <w:r>
        <w:rPr>
          <w:spacing w:val="-14"/>
        </w:rPr>
        <w:t xml:space="preserve"> </w:t>
      </w:r>
      <w:r>
        <w:t>of</w:t>
      </w:r>
      <w:r>
        <w:rPr>
          <w:spacing w:val="-17"/>
        </w:rPr>
        <w:t xml:space="preserve"> </w:t>
      </w:r>
      <w:r>
        <w:t>Labor</w:t>
      </w:r>
      <w:r>
        <w:rPr>
          <w:spacing w:val="-16"/>
        </w:rPr>
        <w:t xml:space="preserve"> </w:t>
      </w:r>
      <w:r>
        <w:t>Service</w:t>
      </w:r>
      <w:r>
        <w:rPr>
          <w:spacing w:val="-16"/>
        </w:rPr>
        <w:t xml:space="preserve"> </w:t>
      </w:r>
      <w:r>
        <w:t>Codes</w:t>
      </w:r>
      <w:r>
        <w:rPr>
          <w:spacing w:val="-16"/>
        </w:rPr>
        <w:t xml:space="preserve"> </w:t>
      </w:r>
      <w:r>
        <w:t>for</w:t>
      </w:r>
      <w:r>
        <w:rPr>
          <w:spacing w:val="-16"/>
        </w:rPr>
        <w:t xml:space="preserve"> </w:t>
      </w:r>
      <w:r>
        <w:t>these</w:t>
      </w:r>
      <w:r>
        <w:rPr>
          <w:spacing w:val="-16"/>
        </w:rPr>
        <w:t xml:space="preserve"> </w:t>
      </w:r>
      <w:r>
        <w:t>services</w:t>
      </w:r>
      <w:r>
        <w:rPr>
          <w:spacing w:val="-16"/>
        </w:rPr>
        <w:t xml:space="preserve"> </w:t>
      </w:r>
      <w:r>
        <w:t>are</w:t>
      </w:r>
      <w:r>
        <w:rPr>
          <w:spacing w:val="-16"/>
        </w:rPr>
        <w:t xml:space="preserve"> </w:t>
      </w:r>
      <w:r>
        <w:t>49</w:t>
      </w:r>
      <w:r>
        <w:rPr>
          <w:spacing w:val="-12"/>
        </w:rPr>
        <w:t xml:space="preserve"> </w:t>
      </w:r>
      <w:r>
        <w:t>(other</w:t>
      </w:r>
      <w:r>
        <w:rPr>
          <w:spacing w:val="-17"/>
        </w:rPr>
        <w:t xml:space="preserve"> </w:t>
      </w:r>
      <w:r>
        <w:t>services) and 56 (</w:t>
      </w:r>
      <w:proofErr w:type="gramStart"/>
      <w:r>
        <w:t>Non-monetary</w:t>
      </w:r>
      <w:proofErr w:type="gramEnd"/>
      <w:r>
        <w:rPr>
          <w:spacing w:val="-1"/>
        </w:rPr>
        <w:t xml:space="preserve"> </w:t>
      </w:r>
      <w:r>
        <w:t>compensation).</w:t>
      </w:r>
    </w:p>
    <w:p w14:paraId="64F5A965" w14:textId="77777777" w:rsidR="00616305" w:rsidRDefault="00616305">
      <w:pPr>
        <w:pStyle w:val="BodyText"/>
        <w:spacing w:before="10"/>
        <w:rPr>
          <w:sz w:val="20"/>
        </w:rPr>
      </w:pPr>
    </w:p>
    <w:p w14:paraId="3F706E58" w14:textId="1B3DEB93" w:rsidR="00616305" w:rsidRDefault="00461EBB">
      <w:pPr>
        <w:pStyle w:val="BodyText"/>
        <w:ind w:left="160" w:right="118" w:firstLine="719"/>
        <w:jc w:val="both"/>
      </w:pPr>
      <w:r>
        <w:t>U.S. Bancorp Fund Services, LLC, doing business as U.S. Bank Global Fund Services, serves as the administrator for the Funds. For more information about administrative fees paid by the Funds, please refer to the “Administration Agreements” section of the SAI and the applicable Fund’s “Statement of Operations” section in the annual report to shareholders.</w:t>
      </w:r>
    </w:p>
    <w:p w14:paraId="5745F9F6" w14:textId="77777777" w:rsidR="00616305" w:rsidRDefault="00616305">
      <w:pPr>
        <w:pStyle w:val="BodyText"/>
        <w:spacing w:before="11"/>
        <w:rPr>
          <w:sz w:val="20"/>
        </w:rPr>
      </w:pPr>
    </w:p>
    <w:p w14:paraId="329343F6" w14:textId="77777777" w:rsidR="00616305" w:rsidRDefault="00461EBB">
      <w:pPr>
        <w:pStyle w:val="BodyText"/>
        <w:ind w:left="160" w:right="117" w:firstLine="719"/>
        <w:jc w:val="both"/>
      </w:pPr>
      <w:r>
        <w:t>The suggested Department of Labor Service Code for these services is 52 (Investment Management Fees Paid Indirectly by Plan).</w:t>
      </w:r>
    </w:p>
    <w:p w14:paraId="56A2F5EE" w14:textId="77777777" w:rsidR="00616305" w:rsidRDefault="00616305">
      <w:pPr>
        <w:pStyle w:val="BodyText"/>
        <w:spacing w:before="10"/>
        <w:rPr>
          <w:sz w:val="20"/>
        </w:rPr>
      </w:pPr>
    </w:p>
    <w:p w14:paraId="44C182D4" w14:textId="77777777" w:rsidR="00616305" w:rsidRDefault="00461EBB">
      <w:pPr>
        <w:pStyle w:val="BodyText"/>
        <w:tabs>
          <w:tab w:val="left" w:pos="762"/>
          <w:tab w:val="left" w:pos="1482"/>
        </w:tabs>
        <w:ind w:left="42"/>
        <w:jc w:val="center"/>
      </w:pPr>
      <w:r>
        <w:t>*</w:t>
      </w:r>
      <w:r>
        <w:tab/>
        <w:t>*</w:t>
      </w:r>
      <w:r>
        <w:tab/>
        <w:t>*</w:t>
      </w:r>
    </w:p>
    <w:p w14:paraId="4EC4D0E9" w14:textId="77777777" w:rsidR="00616305" w:rsidRDefault="00616305">
      <w:pPr>
        <w:pStyle w:val="BodyText"/>
        <w:spacing w:before="10"/>
        <w:rPr>
          <w:sz w:val="20"/>
        </w:rPr>
      </w:pPr>
    </w:p>
    <w:p w14:paraId="6F8F68F0" w14:textId="77777777" w:rsidR="00616305" w:rsidRDefault="00461EBB">
      <w:pPr>
        <w:pStyle w:val="Heading1"/>
        <w:ind w:right="124" w:firstLine="719"/>
        <w:jc w:val="both"/>
      </w:pPr>
      <w:r>
        <w:t>If you have questions about this disclosure document, please contact DoubleLine Funds Trust by telephone at 877-354-6311.</w:t>
      </w:r>
    </w:p>
    <w:p w14:paraId="6BB9A769" w14:textId="77777777" w:rsidR="00616305" w:rsidRDefault="00616305">
      <w:pPr>
        <w:pStyle w:val="BodyText"/>
        <w:spacing w:before="10"/>
        <w:rPr>
          <w:b/>
          <w:sz w:val="20"/>
        </w:rPr>
      </w:pPr>
    </w:p>
    <w:p w14:paraId="4C585A75" w14:textId="77777777" w:rsidR="00616305" w:rsidRDefault="00461EBB">
      <w:pPr>
        <w:pStyle w:val="BodyText"/>
        <w:tabs>
          <w:tab w:val="left" w:pos="762"/>
          <w:tab w:val="left" w:pos="1482"/>
        </w:tabs>
        <w:ind w:left="42"/>
        <w:jc w:val="center"/>
      </w:pPr>
      <w:r>
        <w:t>*</w:t>
      </w:r>
      <w:r>
        <w:tab/>
        <w:t>*</w:t>
      </w:r>
      <w:r>
        <w:tab/>
        <w:t>*</w:t>
      </w:r>
    </w:p>
    <w:p w14:paraId="74932952" w14:textId="77777777" w:rsidR="00616305" w:rsidRDefault="00616305">
      <w:pPr>
        <w:jc w:val="center"/>
        <w:sectPr w:rsidR="00616305">
          <w:pgSz w:w="12240" w:h="15840"/>
          <w:pgMar w:top="1360" w:right="1320" w:bottom="1260" w:left="1280" w:header="0" w:footer="981" w:gutter="0"/>
          <w:cols w:space="720"/>
        </w:sectPr>
      </w:pPr>
    </w:p>
    <w:p w14:paraId="4CA5216E" w14:textId="77777777" w:rsidR="00616305" w:rsidRDefault="00461EBB">
      <w:pPr>
        <w:pStyle w:val="Heading1"/>
        <w:spacing w:before="79"/>
        <w:ind w:right="115" w:firstLine="719"/>
        <w:jc w:val="both"/>
      </w:pPr>
      <w:r>
        <w:lastRenderedPageBreak/>
        <w:t>This disclosure document is not intended to be and shall not constitute legal, tax or accounting advice to plan administrators or pension plans subject to Form 5500 Schedule</w:t>
      </w:r>
      <w:r>
        <w:rPr>
          <w:spacing w:val="-26"/>
        </w:rPr>
        <w:t xml:space="preserve"> </w:t>
      </w:r>
      <w:r>
        <w:t>C reporting obligations and is intended solely to furnish information to such plans to assist them in complying with Form 5500 Schedule C reporting</w:t>
      </w:r>
      <w:r>
        <w:rPr>
          <w:spacing w:val="-5"/>
        </w:rPr>
        <w:t xml:space="preserve"> </w:t>
      </w:r>
      <w:r>
        <w:t>obligations.</w:t>
      </w:r>
    </w:p>
    <w:p w14:paraId="76004F80" w14:textId="77777777" w:rsidR="00616305" w:rsidRDefault="00616305">
      <w:pPr>
        <w:pStyle w:val="BodyText"/>
        <w:spacing w:before="10"/>
        <w:rPr>
          <w:b/>
          <w:sz w:val="20"/>
        </w:rPr>
      </w:pPr>
    </w:p>
    <w:p w14:paraId="04F6D9D7" w14:textId="77777777" w:rsidR="00616305" w:rsidRDefault="00461EBB">
      <w:pPr>
        <w:ind w:left="160" w:right="114" w:firstLine="719"/>
        <w:jc w:val="both"/>
        <w:rPr>
          <w:b/>
          <w:sz w:val="24"/>
        </w:rPr>
      </w:pPr>
      <w:r>
        <w:rPr>
          <w:b/>
          <w:sz w:val="24"/>
        </w:rPr>
        <w:t>This disclosure document is not intended to constitute an offer to sell securities or provide any disclosure required by applicable securities laws and this document is not for distribution</w:t>
      </w:r>
      <w:r>
        <w:rPr>
          <w:b/>
          <w:spacing w:val="-16"/>
          <w:sz w:val="24"/>
        </w:rPr>
        <w:t xml:space="preserve"> </w:t>
      </w:r>
      <w:r>
        <w:rPr>
          <w:b/>
          <w:sz w:val="24"/>
        </w:rPr>
        <w:t>beyond</w:t>
      </w:r>
      <w:r>
        <w:rPr>
          <w:b/>
          <w:spacing w:val="-16"/>
          <w:sz w:val="24"/>
        </w:rPr>
        <w:t xml:space="preserve"> </w:t>
      </w:r>
      <w:r>
        <w:rPr>
          <w:b/>
          <w:sz w:val="24"/>
        </w:rPr>
        <w:t>its</w:t>
      </w:r>
      <w:r>
        <w:rPr>
          <w:b/>
          <w:spacing w:val="-14"/>
          <w:sz w:val="24"/>
        </w:rPr>
        <w:t xml:space="preserve"> </w:t>
      </w:r>
      <w:r>
        <w:rPr>
          <w:b/>
          <w:sz w:val="24"/>
        </w:rPr>
        <w:t>intended</w:t>
      </w:r>
      <w:r>
        <w:rPr>
          <w:b/>
          <w:spacing w:val="-14"/>
          <w:sz w:val="24"/>
        </w:rPr>
        <w:t xml:space="preserve"> </w:t>
      </w:r>
      <w:r>
        <w:rPr>
          <w:b/>
          <w:sz w:val="24"/>
        </w:rPr>
        <w:t>audience.</w:t>
      </w:r>
      <w:r>
        <w:rPr>
          <w:b/>
          <w:spacing w:val="32"/>
          <w:sz w:val="24"/>
        </w:rPr>
        <w:t xml:space="preserve"> </w:t>
      </w:r>
      <w:r>
        <w:rPr>
          <w:b/>
          <w:sz w:val="24"/>
        </w:rPr>
        <w:t>It</w:t>
      </w:r>
      <w:r>
        <w:rPr>
          <w:b/>
          <w:spacing w:val="-14"/>
          <w:sz w:val="24"/>
        </w:rPr>
        <w:t xml:space="preserve"> </w:t>
      </w:r>
      <w:r>
        <w:rPr>
          <w:b/>
          <w:sz w:val="24"/>
        </w:rPr>
        <w:t>is</w:t>
      </w:r>
      <w:r>
        <w:rPr>
          <w:b/>
          <w:spacing w:val="-16"/>
          <w:sz w:val="24"/>
        </w:rPr>
        <w:t xml:space="preserve"> </w:t>
      </w:r>
      <w:r>
        <w:rPr>
          <w:b/>
          <w:sz w:val="24"/>
        </w:rPr>
        <w:t>intended</w:t>
      </w:r>
      <w:r>
        <w:rPr>
          <w:b/>
          <w:spacing w:val="-14"/>
          <w:sz w:val="24"/>
        </w:rPr>
        <w:t xml:space="preserve"> </w:t>
      </w:r>
      <w:r>
        <w:rPr>
          <w:b/>
          <w:sz w:val="24"/>
        </w:rPr>
        <w:t>solely</w:t>
      </w:r>
      <w:r>
        <w:rPr>
          <w:b/>
          <w:spacing w:val="-13"/>
          <w:sz w:val="24"/>
        </w:rPr>
        <w:t xml:space="preserve"> </w:t>
      </w:r>
      <w:r>
        <w:rPr>
          <w:b/>
          <w:sz w:val="24"/>
        </w:rPr>
        <w:t>to</w:t>
      </w:r>
      <w:r>
        <w:rPr>
          <w:b/>
          <w:spacing w:val="-15"/>
          <w:sz w:val="24"/>
        </w:rPr>
        <w:t xml:space="preserve"> </w:t>
      </w:r>
      <w:r>
        <w:rPr>
          <w:b/>
          <w:sz w:val="24"/>
        </w:rPr>
        <w:t>furnish</w:t>
      </w:r>
      <w:r>
        <w:rPr>
          <w:b/>
          <w:spacing w:val="-14"/>
          <w:sz w:val="24"/>
        </w:rPr>
        <w:t xml:space="preserve"> </w:t>
      </w:r>
      <w:r>
        <w:rPr>
          <w:b/>
          <w:sz w:val="24"/>
        </w:rPr>
        <w:t>information</w:t>
      </w:r>
      <w:r>
        <w:rPr>
          <w:b/>
          <w:spacing w:val="-14"/>
          <w:sz w:val="24"/>
        </w:rPr>
        <w:t xml:space="preserve"> </w:t>
      </w:r>
      <w:r>
        <w:rPr>
          <w:b/>
          <w:sz w:val="24"/>
        </w:rPr>
        <w:t>to</w:t>
      </w:r>
      <w:r>
        <w:rPr>
          <w:b/>
          <w:spacing w:val="-15"/>
          <w:sz w:val="24"/>
        </w:rPr>
        <w:t xml:space="preserve"> </w:t>
      </w:r>
      <w:r>
        <w:rPr>
          <w:b/>
          <w:sz w:val="24"/>
        </w:rPr>
        <w:t>such plans to assist them in complying with Form 5500 Schedule C reporting</w:t>
      </w:r>
      <w:r>
        <w:rPr>
          <w:b/>
          <w:spacing w:val="-8"/>
          <w:sz w:val="24"/>
        </w:rPr>
        <w:t xml:space="preserve"> </w:t>
      </w:r>
      <w:r>
        <w:rPr>
          <w:b/>
          <w:sz w:val="24"/>
        </w:rPr>
        <w:t>obligations.</w:t>
      </w:r>
    </w:p>
    <w:p w14:paraId="0D0FB5CC" w14:textId="77777777" w:rsidR="00616305" w:rsidRDefault="00616305">
      <w:pPr>
        <w:jc w:val="both"/>
        <w:rPr>
          <w:sz w:val="24"/>
        </w:rPr>
        <w:sectPr w:rsidR="00616305">
          <w:pgSz w:w="12240" w:h="15840"/>
          <w:pgMar w:top="1360" w:right="1320" w:bottom="1260" w:left="1280" w:header="0" w:footer="981" w:gutter="0"/>
          <w:cols w:space="720"/>
        </w:sectPr>
      </w:pPr>
    </w:p>
    <w:p w14:paraId="2EBDF86D" w14:textId="380E9113" w:rsidR="00616305" w:rsidRDefault="00461EBB">
      <w:pPr>
        <w:spacing w:before="79" w:after="7" w:line="444" w:lineRule="auto"/>
        <w:ind w:left="3919" w:right="3876" w:firstLine="2"/>
        <w:jc w:val="center"/>
        <w:rPr>
          <w:b/>
          <w:sz w:val="16"/>
        </w:rPr>
      </w:pPr>
      <w:r>
        <w:rPr>
          <w:b/>
          <w:sz w:val="24"/>
        </w:rPr>
        <w:lastRenderedPageBreak/>
        <w:t>Appendix A Table of</w:t>
      </w:r>
      <w:r>
        <w:rPr>
          <w:b/>
          <w:spacing w:val="5"/>
          <w:sz w:val="24"/>
        </w:rPr>
        <w:t xml:space="preserve"> </w:t>
      </w:r>
      <w:r>
        <w:rPr>
          <w:b/>
          <w:spacing w:val="-3"/>
          <w:sz w:val="24"/>
        </w:rPr>
        <w:t>CUSIPS</w:t>
      </w:r>
      <w:r w:rsidR="00FC4DD2">
        <w:rPr>
          <w:rStyle w:val="FootnoteReference"/>
          <w:b/>
          <w:spacing w:val="-3"/>
          <w:sz w:val="24"/>
        </w:rPr>
        <w:footnoteReference w:id="5"/>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19"/>
        <w:gridCol w:w="3039"/>
        <w:gridCol w:w="3082"/>
      </w:tblGrid>
      <w:tr w:rsidR="00616305" w14:paraId="071F086C" w14:textId="77777777" w:rsidTr="00FC4DD2">
        <w:trPr>
          <w:cantSplit/>
          <w:trHeight w:val="395"/>
          <w:tblHeader/>
        </w:trPr>
        <w:tc>
          <w:tcPr>
            <w:tcW w:w="3219" w:type="dxa"/>
          </w:tcPr>
          <w:p w14:paraId="48F0329B" w14:textId="77777777" w:rsidR="00616305" w:rsidRDefault="00461EBB">
            <w:pPr>
              <w:pStyle w:val="TableParagraph"/>
              <w:spacing w:line="275" w:lineRule="exact"/>
              <w:ind w:left="1005"/>
              <w:rPr>
                <w:b/>
                <w:sz w:val="24"/>
              </w:rPr>
            </w:pPr>
            <w:r>
              <w:rPr>
                <w:b/>
                <w:sz w:val="24"/>
              </w:rPr>
              <w:t>Fund Name</w:t>
            </w:r>
          </w:p>
        </w:tc>
        <w:tc>
          <w:tcPr>
            <w:tcW w:w="3039" w:type="dxa"/>
          </w:tcPr>
          <w:p w14:paraId="41D24950" w14:textId="77777777" w:rsidR="00616305" w:rsidRDefault="00461EBB">
            <w:pPr>
              <w:pStyle w:val="TableParagraph"/>
              <w:spacing w:line="275" w:lineRule="exact"/>
              <w:ind w:left="1056" w:right="1049"/>
              <w:jc w:val="center"/>
              <w:rPr>
                <w:b/>
                <w:sz w:val="24"/>
              </w:rPr>
            </w:pPr>
            <w:r>
              <w:rPr>
                <w:b/>
                <w:sz w:val="24"/>
              </w:rPr>
              <w:t>Ticker</w:t>
            </w:r>
          </w:p>
        </w:tc>
        <w:tc>
          <w:tcPr>
            <w:tcW w:w="3082" w:type="dxa"/>
          </w:tcPr>
          <w:p w14:paraId="3B535635" w14:textId="77777777" w:rsidR="00616305" w:rsidRDefault="00461EBB">
            <w:pPr>
              <w:pStyle w:val="TableParagraph"/>
              <w:spacing w:line="275" w:lineRule="exact"/>
              <w:ind w:left="949" w:right="941"/>
              <w:jc w:val="center"/>
              <w:rPr>
                <w:b/>
                <w:sz w:val="24"/>
              </w:rPr>
            </w:pPr>
            <w:r>
              <w:rPr>
                <w:b/>
                <w:sz w:val="24"/>
              </w:rPr>
              <w:t>CUSIP</w:t>
            </w:r>
          </w:p>
        </w:tc>
      </w:tr>
      <w:tr w:rsidR="00616305" w14:paraId="20ABD0F9" w14:textId="77777777">
        <w:trPr>
          <w:trHeight w:val="671"/>
        </w:trPr>
        <w:tc>
          <w:tcPr>
            <w:tcW w:w="3219" w:type="dxa"/>
          </w:tcPr>
          <w:p w14:paraId="4C92D08E" w14:textId="77777777" w:rsidR="00616305" w:rsidRDefault="00461EBB">
            <w:pPr>
              <w:pStyle w:val="TableParagraph"/>
              <w:spacing w:line="240" w:lineRule="auto"/>
              <w:ind w:left="971" w:right="51" w:hanging="893"/>
              <w:rPr>
                <w:sz w:val="24"/>
              </w:rPr>
            </w:pPr>
            <w:r>
              <w:rPr>
                <w:sz w:val="24"/>
              </w:rPr>
              <w:t>DoubleLine Core Fixed Income Fund, Class I</w:t>
            </w:r>
          </w:p>
        </w:tc>
        <w:tc>
          <w:tcPr>
            <w:tcW w:w="3039" w:type="dxa"/>
          </w:tcPr>
          <w:p w14:paraId="3757AFB4" w14:textId="77777777" w:rsidR="00616305" w:rsidRDefault="00461EBB">
            <w:pPr>
              <w:pStyle w:val="TableParagraph"/>
              <w:spacing w:line="275" w:lineRule="exact"/>
              <w:ind w:left="1056" w:right="1050"/>
              <w:jc w:val="center"/>
              <w:rPr>
                <w:sz w:val="24"/>
              </w:rPr>
            </w:pPr>
            <w:r>
              <w:rPr>
                <w:sz w:val="24"/>
              </w:rPr>
              <w:t>DBLFX</w:t>
            </w:r>
          </w:p>
        </w:tc>
        <w:tc>
          <w:tcPr>
            <w:tcW w:w="3082" w:type="dxa"/>
          </w:tcPr>
          <w:p w14:paraId="39FC573F" w14:textId="77777777" w:rsidR="00616305" w:rsidRDefault="00461EBB">
            <w:pPr>
              <w:pStyle w:val="TableParagraph"/>
              <w:spacing w:line="275" w:lineRule="exact"/>
              <w:ind w:left="949" w:right="943"/>
              <w:jc w:val="center"/>
              <w:rPr>
                <w:sz w:val="24"/>
              </w:rPr>
            </w:pPr>
            <w:r>
              <w:rPr>
                <w:sz w:val="24"/>
              </w:rPr>
              <w:t>258620 301</w:t>
            </w:r>
          </w:p>
        </w:tc>
      </w:tr>
      <w:tr w:rsidR="00616305" w14:paraId="4E4FA856" w14:textId="77777777">
        <w:trPr>
          <w:trHeight w:val="671"/>
        </w:trPr>
        <w:tc>
          <w:tcPr>
            <w:tcW w:w="3219" w:type="dxa"/>
          </w:tcPr>
          <w:p w14:paraId="7A7CA610" w14:textId="77777777" w:rsidR="00616305" w:rsidRDefault="00461EBB">
            <w:pPr>
              <w:pStyle w:val="TableParagraph"/>
              <w:spacing w:line="240" w:lineRule="auto"/>
              <w:ind w:left="923" w:right="51" w:hanging="845"/>
              <w:rPr>
                <w:sz w:val="24"/>
              </w:rPr>
            </w:pPr>
            <w:r>
              <w:rPr>
                <w:sz w:val="24"/>
              </w:rPr>
              <w:t>DoubleLine Core Fixed Income Fund, Class N</w:t>
            </w:r>
          </w:p>
        </w:tc>
        <w:tc>
          <w:tcPr>
            <w:tcW w:w="3039" w:type="dxa"/>
          </w:tcPr>
          <w:p w14:paraId="1AFBAA34" w14:textId="77777777" w:rsidR="00616305" w:rsidRDefault="00461EBB">
            <w:pPr>
              <w:pStyle w:val="TableParagraph"/>
              <w:spacing w:line="275" w:lineRule="exact"/>
              <w:ind w:left="1055" w:right="1051"/>
              <w:jc w:val="center"/>
              <w:rPr>
                <w:sz w:val="24"/>
              </w:rPr>
            </w:pPr>
            <w:r>
              <w:rPr>
                <w:sz w:val="24"/>
              </w:rPr>
              <w:t>DLFNX</w:t>
            </w:r>
          </w:p>
        </w:tc>
        <w:tc>
          <w:tcPr>
            <w:tcW w:w="3082" w:type="dxa"/>
          </w:tcPr>
          <w:p w14:paraId="43BD4011" w14:textId="77777777" w:rsidR="00616305" w:rsidRDefault="00461EBB">
            <w:pPr>
              <w:pStyle w:val="TableParagraph"/>
              <w:spacing w:line="275" w:lineRule="exact"/>
              <w:ind w:left="949" w:right="943"/>
              <w:jc w:val="center"/>
              <w:rPr>
                <w:sz w:val="24"/>
              </w:rPr>
            </w:pPr>
            <w:r>
              <w:rPr>
                <w:sz w:val="24"/>
              </w:rPr>
              <w:t>258620 400</w:t>
            </w:r>
          </w:p>
        </w:tc>
      </w:tr>
      <w:tr w:rsidR="00616305" w14:paraId="0B20887B" w14:textId="77777777">
        <w:trPr>
          <w:trHeight w:val="674"/>
        </w:trPr>
        <w:tc>
          <w:tcPr>
            <w:tcW w:w="3219" w:type="dxa"/>
          </w:tcPr>
          <w:p w14:paraId="60F9D51D" w14:textId="77777777" w:rsidR="00616305" w:rsidRDefault="00461EBB">
            <w:pPr>
              <w:pStyle w:val="TableParagraph"/>
              <w:spacing w:before="1" w:line="240" w:lineRule="auto"/>
              <w:ind w:left="870" w:right="51" w:hanging="792"/>
              <w:rPr>
                <w:sz w:val="24"/>
              </w:rPr>
            </w:pPr>
            <w:r>
              <w:rPr>
                <w:sz w:val="24"/>
              </w:rPr>
              <w:t>DoubleLine Core Fixed Income Fund, Class R6</w:t>
            </w:r>
          </w:p>
        </w:tc>
        <w:tc>
          <w:tcPr>
            <w:tcW w:w="3039" w:type="dxa"/>
          </w:tcPr>
          <w:p w14:paraId="6B71AC9F" w14:textId="77777777" w:rsidR="00616305" w:rsidRDefault="00461EBB">
            <w:pPr>
              <w:pStyle w:val="TableParagraph"/>
              <w:spacing w:before="1" w:line="240" w:lineRule="auto"/>
              <w:ind w:left="1055" w:right="1051"/>
              <w:jc w:val="center"/>
              <w:rPr>
                <w:sz w:val="24"/>
              </w:rPr>
            </w:pPr>
            <w:r>
              <w:rPr>
                <w:sz w:val="24"/>
              </w:rPr>
              <w:t>DDCFX</w:t>
            </w:r>
          </w:p>
        </w:tc>
        <w:tc>
          <w:tcPr>
            <w:tcW w:w="3082" w:type="dxa"/>
          </w:tcPr>
          <w:p w14:paraId="02F84FF8" w14:textId="77777777" w:rsidR="00616305" w:rsidRDefault="00461EBB">
            <w:pPr>
              <w:pStyle w:val="TableParagraph"/>
              <w:spacing w:before="1" w:line="240" w:lineRule="auto"/>
              <w:ind w:left="949" w:right="941"/>
              <w:jc w:val="center"/>
              <w:rPr>
                <w:sz w:val="24"/>
              </w:rPr>
            </w:pPr>
            <w:r>
              <w:rPr>
                <w:sz w:val="24"/>
              </w:rPr>
              <w:t>258620558</w:t>
            </w:r>
          </w:p>
        </w:tc>
      </w:tr>
      <w:tr w:rsidR="00616305" w14:paraId="40271307" w14:textId="77777777">
        <w:trPr>
          <w:trHeight w:val="671"/>
        </w:trPr>
        <w:tc>
          <w:tcPr>
            <w:tcW w:w="3219" w:type="dxa"/>
          </w:tcPr>
          <w:p w14:paraId="7A2090AD" w14:textId="77777777" w:rsidR="00616305" w:rsidRDefault="00461EBB">
            <w:pPr>
              <w:pStyle w:val="TableParagraph"/>
              <w:spacing w:line="240" w:lineRule="auto"/>
              <w:ind w:left="971" w:right="78" w:hanging="867"/>
              <w:rPr>
                <w:sz w:val="24"/>
              </w:rPr>
            </w:pPr>
            <w:r>
              <w:rPr>
                <w:sz w:val="24"/>
              </w:rPr>
              <w:t>DoubleLine Total Return Bond Fund, Class I</w:t>
            </w:r>
          </w:p>
        </w:tc>
        <w:tc>
          <w:tcPr>
            <w:tcW w:w="3039" w:type="dxa"/>
          </w:tcPr>
          <w:p w14:paraId="4E5B444F" w14:textId="77777777" w:rsidR="00616305" w:rsidRDefault="00461EBB">
            <w:pPr>
              <w:pStyle w:val="TableParagraph"/>
              <w:spacing w:line="275" w:lineRule="exact"/>
              <w:ind w:left="1056" w:right="1049"/>
              <w:jc w:val="center"/>
              <w:rPr>
                <w:sz w:val="24"/>
              </w:rPr>
            </w:pPr>
            <w:r>
              <w:rPr>
                <w:sz w:val="24"/>
              </w:rPr>
              <w:t>DBLTX</w:t>
            </w:r>
          </w:p>
        </w:tc>
        <w:tc>
          <w:tcPr>
            <w:tcW w:w="3082" w:type="dxa"/>
          </w:tcPr>
          <w:p w14:paraId="1E5864FD" w14:textId="77777777" w:rsidR="00616305" w:rsidRDefault="00461EBB">
            <w:pPr>
              <w:pStyle w:val="TableParagraph"/>
              <w:spacing w:line="275" w:lineRule="exact"/>
              <w:ind w:left="949" w:right="943"/>
              <w:jc w:val="center"/>
              <w:rPr>
                <w:sz w:val="24"/>
              </w:rPr>
            </w:pPr>
            <w:r>
              <w:rPr>
                <w:sz w:val="24"/>
              </w:rPr>
              <w:t>258620 103</w:t>
            </w:r>
          </w:p>
        </w:tc>
      </w:tr>
      <w:tr w:rsidR="00616305" w14:paraId="7137F233" w14:textId="77777777">
        <w:trPr>
          <w:trHeight w:val="671"/>
        </w:trPr>
        <w:tc>
          <w:tcPr>
            <w:tcW w:w="3219" w:type="dxa"/>
          </w:tcPr>
          <w:p w14:paraId="3611DA92" w14:textId="77777777" w:rsidR="00616305" w:rsidRDefault="00461EBB">
            <w:pPr>
              <w:pStyle w:val="TableParagraph"/>
              <w:spacing w:line="240" w:lineRule="auto"/>
              <w:ind w:left="923" w:right="78" w:hanging="819"/>
              <w:rPr>
                <w:sz w:val="24"/>
              </w:rPr>
            </w:pPr>
            <w:r>
              <w:rPr>
                <w:sz w:val="24"/>
              </w:rPr>
              <w:t>DoubleLine Total Return Bond Fund, Class N</w:t>
            </w:r>
          </w:p>
        </w:tc>
        <w:tc>
          <w:tcPr>
            <w:tcW w:w="3039" w:type="dxa"/>
          </w:tcPr>
          <w:p w14:paraId="65FAE383" w14:textId="77777777" w:rsidR="00616305" w:rsidRDefault="00461EBB">
            <w:pPr>
              <w:pStyle w:val="TableParagraph"/>
              <w:spacing w:line="275" w:lineRule="exact"/>
              <w:ind w:left="1055" w:right="1051"/>
              <w:jc w:val="center"/>
              <w:rPr>
                <w:sz w:val="24"/>
              </w:rPr>
            </w:pPr>
            <w:r>
              <w:rPr>
                <w:sz w:val="24"/>
              </w:rPr>
              <w:t>DLTNX</w:t>
            </w:r>
          </w:p>
        </w:tc>
        <w:tc>
          <w:tcPr>
            <w:tcW w:w="3082" w:type="dxa"/>
          </w:tcPr>
          <w:p w14:paraId="64F6F593" w14:textId="77777777" w:rsidR="00616305" w:rsidRDefault="00461EBB">
            <w:pPr>
              <w:pStyle w:val="TableParagraph"/>
              <w:spacing w:line="275" w:lineRule="exact"/>
              <w:ind w:left="949" w:right="943"/>
              <w:jc w:val="center"/>
              <w:rPr>
                <w:sz w:val="24"/>
              </w:rPr>
            </w:pPr>
            <w:r>
              <w:rPr>
                <w:sz w:val="24"/>
              </w:rPr>
              <w:t>258620 202</w:t>
            </w:r>
          </w:p>
        </w:tc>
      </w:tr>
      <w:tr w:rsidR="00616305" w14:paraId="33D490CE" w14:textId="77777777">
        <w:trPr>
          <w:trHeight w:val="671"/>
        </w:trPr>
        <w:tc>
          <w:tcPr>
            <w:tcW w:w="3219" w:type="dxa"/>
          </w:tcPr>
          <w:p w14:paraId="0A537AA7" w14:textId="77777777" w:rsidR="00616305" w:rsidRDefault="00461EBB">
            <w:pPr>
              <w:pStyle w:val="TableParagraph"/>
              <w:spacing w:line="240" w:lineRule="auto"/>
              <w:ind w:left="870" w:right="78" w:hanging="766"/>
              <w:rPr>
                <w:sz w:val="24"/>
              </w:rPr>
            </w:pPr>
            <w:r>
              <w:rPr>
                <w:sz w:val="24"/>
              </w:rPr>
              <w:t>DoubleLine Total Return Bond Fund, Class R6</w:t>
            </w:r>
          </w:p>
        </w:tc>
        <w:tc>
          <w:tcPr>
            <w:tcW w:w="3039" w:type="dxa"/>
          </w:tcPr>
          <w:p w14:paraId="3F951057" w14:textId="77777777" w:rsidR="00616305" w:rsidRDefault="00461EBB">
            <w:pPr>
              <w:pStyle w:val="TableParagraph"/>
              <w:spacing w:line="275" w:lineRule="exact"/>
              <w:ind w:left="1056" w:right="1048"/>
              <w:jc w:val="center"/>
              <w:rPr>
                <w:sz w:val="24"/>
              </w:rPr>
            </w:pPr>
            <w:r>
              <w:rPr>
                <w:sz w:val="24"/>
              </w:rPr>
              <w:t>DDTRX</w:t>
            </w:r>
          </w:p>
        </w:tc>
        <w:tc>
          <w:tcPr>
            <w:tcW w:w="3082" w:type="dxa"/>
          </w:tcPr>
          <w:p w14:paraId="54A0B1DF" w14:textId="77777777" w:rsidR="00616305" w:rsidRDefault="00461EBB">
            <w:pPr>
              <w:pStyle w:val="TableParagraph"/>
              <w:spacing w:line="275" w:lineRule="exact"/>
              <w:ind w:left="949" w:right="941"/>
              <w:jc w:val="center"/>
              <w:rPr>
                <w:sz w:val="24"/>
              </w:rPr>
            </w:pPr>
            <w:r>
              <w:rPr>
                <w:sz w:val="24"/>
              </w:rPr>
              <w:t>258620566</w:t>
            </w:r>
          </w:p>
        </w:tc>
      </w:tr>
      <w:tr w:rsidR="00616305" w14:paraId="33053062" w14:textId="77777777">
        <w:trPr>
          <w:trHeight w:val="671"/>
        </w:trPr>
        <w:tc>
          <w:tcPr>
            <w:tcW w:w="3219" w:type="dxa"/>
          </w:tcPr>
          <w:p w14:paraId="7CC3EBAD" w14:textId="77777777" w:rsidR="00616305" w:rsidRDefault="00461EBB">
            <w:pPr>
              <w:pStyle w:val="TableParagraph"/>
              <w:spacing w:line="240" w:lineRule="auto"/>
              <w:ind w:left="278" w:hanging="168"/>
              <w:rPr>
                <w:sz w:val="24"/>
              </w:rPr>
            </w:pPr>
            <w:r>
              <w:rPr>
                <w:sz w:val="24"/>
              </w:rPr>
              <w:t>DoubleLine Emerging Markets Fixed Income Fund, Class I</w:t>
            </w:r>
          </w:p>
        </w:tc>
        <w:tc>
          <w:tcPr>
            <w:tcW w:w="3039" w:type="dxa"/>
          </w:tcPr>
          <w:p w14:paraId="03353893" w14:textId="77777777" w:rsidR="00616305" w:rsidRDefault="00461EBB">
            <w:pPr>
              <w:pStyle w:val="TableParagraph"/>
              <w:spacing w:line="275" w:lineRule="exact"/>
              <w:ind w:left="1056" w:right="1049"/>
              <w:jc w:val="center"/>
              <w:rPr>
                <w:sz w:val="24"/>
              </w:rPr>
            </w:pPr>
            <w:r>
              <w:rPr>
                <w:sz w:val="24"/>
              </w:rPr>
              <w:t>DBLEX</w:t>
            </w:r>
          </w:p>
        </w:tc>
        <w:tc>
          <w:tcPr>
            <w:tcW w:w="3082" w:type="dxa"/>
          </w:tcPr>
          <w:p w14:paraId="2BC80219" w14:textId="77777777" w:rsidR="00616305" w:rsidRDefault="00461EBB">
            <w:pPr>
              <w:pStyle w:val="TableParagraph"/>
              <w:spacing w:line="275" w:lineRule="exact"/>
              <w:ind w:left="949" w:right="943"/>
              <w:jc w:val="center"/>
              <w:rPr>
                <w:sz w:val="24"/>
              </w:rPr>
            </w:pPr>
            <w:r>
              <w:rPr>
                <w:sz w:val="24"/>
              </w:rPr>
              <w:t>258620 509</w:t>
            </w:r>
          </w:p>
        </w:tc>
      </w:tr>
      <w:tr w:rsidR="00616305" w14:paraId="646A4E83" w14:textId="77777777">
        <w:trPr>
          <w:trHeight w:val="672"/>
        </w:trPr>
        <w:tc>
          <w:tcPr>
            <w:tcW w:w="3219" w:type="dxa"/>
          </w:tcPr>
          <w:p w14:paraId="691DEC07" w14:textId="77777777" w:rsidR="00616305" w:rsidRDefault="00461EBB">
            <w:pPr>
              <w:pStyle w:val="TableParagraph"/>
              <w:spacing w:line="240" w:lineRule="auto"/>
              <w:ind w:left="232" w:right="80" w:hanging="123"/>
              <w:rPr>
                <w:sz w:val="24"/>
              </w:rPr>
            </w:pPr>
            <w:r>
              <w:rPr>
                <w:sz w:val="24"/>
              </w:rPr>
              <w:t>DoubleLine Emerging Markets Fixed Income Fund, Class N</w:t>
            </w:r>
          </w:p>
        </w:tc>
        <w:tc>
          <w:tcPr>
            <w:tcW w:w="3039" w:type="dxa"/>
          </w:tcPr>
          <w:p w14:paraId="3BF4ACDF" w14:textId="77777777" w:rsidR="00616305" w:rsidRDefault="00461EBB">
            <w:pPr>
              <w:pStyle w:val="TableParagraph"/>
              <w:spacing w:line="275" w:lineRule="exact"/>
              <w:ind w:left="1055" w:right="1051"/>
              <w:jc w:val="center"/>
              <w:rPr>
                <w:sz w:val="24"/>
              </w:rPr>
            </w:pPr>
            <w:r>
              <w:rPr>
                <w:sz w:val="24"/>
              </w:rPr>
              <w:t>DLENX</w:t>
            </w:r>
          </w:p>
        </w:tc>
        <w:tc>
          <w:tcPr>
            <w:tcW w:w="3082" w:type="dxa"/>
          </w:tcPr>
          <w:p w14:paraId="3498C92B" w14:textId="77777777" w:rsidR="00616305" w:rsidRDefault="00461EBB">
            <w:pPr>
              <w:pStyle w:val="TableParagraph"/>
              <w:spacing w:line="275" w:lineRule="exact"/>
              <w:ind w:left="949" w:right="943"/>
              <w:jc w:val="center"/>
              <w:rPr>
                <w:sz w:val="24"/>
              </w:rPr>
            </w:pPr>
            <w:r>
              <w:rPr>
                <w:sz w:val="24"/>
              </w:rPr>
              <w:t>258620 608</w:t>
            </w:r>
          </w:p>
        </w:tc>
      </w:tr>
      <w:tr w:rsidR="00616305" w14:paraId="0EE99971" w14:textId="77777777">
        <w:trPr>
          <w:trHeight w:val="671"/>
        </w:trPr>
        <w:tc>
          <w:tcPr>
            <w:tcW w:w="3219" w:type="dxa"/>
          </w:tcPr>
          <w:p w14:paraId="5D52D3E6" w14:textId="77777777" w:rsidR="00616305" w:rsidRDefault="00461EBB">
            <w:pPr>
              <w:pStyle w:val="TableParagraph"/>
              <w:spacing w:line="240" w:lineRule="auto"/>
              <w:ind w:left="575" w:right="405" w:hanging="144"/>
              <w:rPr>
                <w:sz w:val="24"/>
              </w:rPr>
            </w:pPr>
            <w:r>
              <w:rPr>
                <w:sz w:val="24"/>
              </w:rPr>
              <w:t>DoubleLine Multi-Asset Growth Fund, Class I</w:t>
            </w:r>
          </w:p>
        </w:tc>
        <w:tc>
          <w:tcPr>
            <w:tcW w:w="3039" w:type="dxa"/>
          </w:tcPr>
          <w:p w14:paraId="4D98165D" w14:textId="77777777" w:rsidR="00616305" w:rsidRDefault="00461EBB">
            <w:pPr>
              <w:pStyle w:val="TableParagraph"/>
              <w:spacing w:line="275" w:lineRule="exact"/>
              <w:ind w:left="1056" w:right="1050"/>
              <w:jc w:val="center"/>
              <w:rPr>
                <w:sz w:val="24"/>
              </w:rPr>
            </w:pPr>
            <w:r>
              <w:rPr>
                <w:sz w:val="24"/>
              </w:rPr>
              <w:t>DMLIX</w:t>
            </w:r>
          </w:p>
        </w:tc>
        <w:tc>
          <w:tcPr>
            <w:tcW w:w="3082" w:type="dxa"/>
          </w:tcPr>
          <w:p w14:paraId="5E9ED8A2" w14:textId="77777777" w:rsidR="00616305" w:rsidRDefault="00461EBB">
            <w:pPr>
              <w:pStyle w:val="TableParagraph"/>
              <w:spacing w:line="275" w:lineRule="exact"/>
              <w:ind w:left="949" w:right="943"/>
              <w:jc w:val="center"/>
              <w:rPr>
                <w:sz w:val="24"/>
              </w:rPr>
            </w:pPr>
            <w:r>
              <w:rPr>
                <w:sz w:val="24"/>
              </w:rPr>
              <w:t>258620 889</w:t>
            </w:r>
          </w:p>
        </w:tc>
      </w:tr>
      <w:tr w:rsidR="00616305" w14:paraId="126197E5" w14:textId="77777777">
        <w:trPr>
          <w:trHeight w:val="674"/>
        </w:trPr>
        <w:tc>
          <w:tcPr>
            <w:tcW w:w="3219" w:type="dxa"/>
          </w:tcPr>
          <w:p w14:paraId="32B04EAE" w14:textId="77777777" w:rsidR="00616305" w:rsidRDefault="00461EBB">
            <w:pPr>
              <w:pStyle w:val="TableParagraph"/>
              <w:spacing w:before="1" w:line="240" w:lineRule="auto"/>
              <w:ind w:left="527" w:right="405" w:hanging="96"/>
              <w:rPr>
                <w:sz w:val="24"/>
              </w:rPr>
            </w:pPr>
            <w:r>
              <w:rPr>
                <w:sz w:val="24"/>
              </w:rPr>
              <w:t>DoubleLine Multi-Asset Growth Fund, Class A</w:t>
            </w:r>
          </w:p>
        </w:tc>
        <w:tc>
          <w:tcPr>
            <w:tcW w:w="3039" w:type="dxa"/>
          </w:tcPr>
          <w:p w14:paraId="30C73FC1" w14:textId="77777777" w:rsidR="00616305" w:rsidRDefault="00461EBB">
            <w:pPr>
              <w:pStyle w:val="TableParagraph"/>
              <w:spacing w:before="1" w:line="240" w:lineRule="auto"/>
              <w:ind w:left="1055" w:right="1051"/>
              <w:jc w:val="center"/>
              <w:rPr>
                <w:sz w:val="24"/>
              </w:rPr>
            </w:pPr>
            <w:r>
              <w:rPr>
                <w:sz w:val="24"/>
              </w:rPr>
              <w:t>DMLAX</w:t>
            </w:r>
          </w:p>
        </w:tc>
        <w:tc>
          <w:tcPr>
            <w:tcW w:w="3082" w:type="dxa"/>
          </w:tcPr>
          <w:p w14:paraId="66E5A115" w14:textId="77777777" w:rsidR="00616305" w:rsidRDefault="00461EBB">
            <w:pPr>
              <w:pStyle w:val="TableParagraph"/>
              <w:spacing w:before="1" w:line="240" w:lineRule="auto"/>
              <w:ind w:left="949" w:right="943"/>
              <w:jc w:val="center"/>
              <w:rPr>
                <w:sz w:val="24"/>
              </w:rPr>
            </w:pPr>
            <w:r>
              <w:rPr>
                <w:sz w:val="24"/>
              </w:rPr>
              <w:t>258620 707</w:t>
            </w:r>
          </w:p>
        </w:tc>
      </w:tr>
      <w:tr w:rsidR="00616305" w14:paraId="5FF31DB8" w14:textId="77777777">
        <w:trPr>
          <w:trHeight w:val="671"/>
        </w:trPr>
        <w:tc>
          <w:tcPr>
            <w:tcW w:w="3219" w:type="dxa"/>
          </w:tcPr>
          <w:p w14:paraId="450CE9EF" w14:textId="77777777" w:rsidR="00616305" w:rsidRDefault="00461EBB">
            <w:pPr>
              <w:pStyle w:val="TableParagraph"/>
              <w:spacing w:line="240" w:lineRule="auto"/>
              <w:ind w:left="681" w:right="301" w:hanging="353"/>
              <w:rPr>
                <w:sz w:val="24"/>
              </w:rPr>
            </w:pPr>
            <w:r>
              <w:rPr>
                <w:sz w:val="24"/>
              </w:rPr>
              <w:t>DoubleLine Low Duration Bond Fund, Class I</w:t>
            </w:r>
          </w:p>
        </w:tc>
        <w:tc>
          <w:tcPr>
            <w:tcW w:w="3039" w:type="dxa"/>
          </w:tcPr>
          <w:p w14:paraId="1B774314" w14:textId="77777777" w:rsidR="00616305" w:rsidRDefault="00461EBB">
            <w:pPr>
              <w:pStyle w:val="TableParagraph"/>
              <w:spacing w:line="275" w:lineRule="exact"/>
              <w:ind w:left="1056" w:right="1047"/>
              <w:jc w:val="center"/>
              <w:rPr>
                <w:sz w:val="24"/>
              </w:rPr>
            </w:pPr>
            <w:r>
              <w:rPr>
                <w:sz w:val="24"/>
              </w:rPr>
              <w:t>DBLSX</w:t>
            </w:r>
          </w:p>
        </w:tc>
        <w:tc>
          <w:tcPr>
            <w:tcW w:w="3082" w:type="dxa"/>
          </w:tcPr>
          <w:p w14:paraId="49551428" w14:textId="77777777" w:rsidR="00616305" w:rsidRDefault="00461EBB">
            <w:pPr>
              <w:pStyle w:val="TableParagraph"/>
              <w:spacing w:line="275" w:lineRule="exact"/>
              <w:ind w:left="949" w:right="943"/>
              <w:jc w:val="center"/>
              <w:rPr>
                <w:sz w:val="24"/>
              </w:rPr>
            </w:pPr>
            <w:r>
              <w:rPr>
                <w:sz w:val="24"/>
              </w:rPr>
              <w:t>258620 863</w:t>
            </w:r>
          </w:p>
        </w:tc>
      </w:tr>
      <w:tr w:rsidR="00616305" w14:paraId="60E7D60C" w14:textId="77777777">
        <w:trPr>
          <w:trHeight w:val="671"/>
        </w:trPr>
        <w:tc>
          <w:tcPr>
            <w:tcW w:w="3219" w:type="dxa"/>
          </w:tcPr>
          <w:p w14:paraId="0CC7F7DC" w14:textId="77777777" w:rsidR="00616305" w:rsidRDefault="00461EBB">
            <w:pPr>
              <w:pStyle w:val="TableParagraph"/>
              <w:spacing w:line="240" w:lineRule="auto"/>
              <w:ind w:left="635" w:right="302" w:hanging="308"/>
              <w:rPr>
                <w:sz w:val="24"/>
              </w:rPr>
            </w:pPr>
            <w:r>
              <w:rPr>
                <w:sz w:val="24"/>
              </w:rPr>
              <w:t>DoubleLine Low Duration Bond Fund, Class N</w:t>
            </w:r>
          </w:p>
        </w:tc>
        <w:tc>
          <w:tcPr>
            <w:tcW w:w="3039" w:type="dxa"/>
          </w:tcPr>
          <w:p w14:paraId="6E7C687E" w14:textId="77777777" w:rsidR="00616305" w:rsidRDefault="00461EBB">
            <w:pPr>
              <w:pStyle w:val="TableParagraph"/>
              <w:spacing w:line="275" w:lineRule="exact"/>
              <w:ind w:left="1056" w:right="1049"/>
              <w:jc w:val="center"/>
              <w:rPr>
                <w:sz w:val="24"/>
              </w:rPr>
            </w:pPr>
            <w:r>
              <w:rPr>
                <w:sz w:val="24"/>
              </w:rPr>
              <w:t>DLSNX</w:t>
            </w:r>
          </w:p>
        </w:tc>
        <w:tc>
          <w:tcPr>
            <w:tcW w:w="3082" w:type="dxa"/>
          </w:tcPr>
          <w:p w14:paraId="35C1A51B" w14:textId="77777777" w:rsidR="00616305" w:rsidRDefault="00461EBB">
            <w:pPr>
              <w:pStyle w:val="TableParagraph"/>
              <w:spacing w:line="275" w:lineRule="exact"/>
              <w:ind w:left="949" w:right="943"/>
              <w:jc w:val="center"/>
              <w:rPr>
                <w:sz w:val="24"/>
              </w:rPr>
            </w:pPr>
            <w:r>
              <w:rPr>
                <w:sz w:val="24"/>
              </w:rPr>
              <w:t>258620 855</w:t>
            </w:r>
          </w:p>
        </w:tc>
      </w:tr>
      <w:tr w:rsidR="00FC4DD2" w14:paraId="1FFC03AF" w14:textId="77777777">
        <w:trPr>
          <w:trHeight w:val="671"/>
        </w:trPr>
        <w:tc>
          <w:tcPr>
            <w:tcW w:w="3219" w:type="dxa"/>
          </w:tcPr>
          <w:p w14:paraId="3ECC075E" w14:textId="5E689B4E" w:rsidR="00FC4DD2" w:rsidRDefault="00FC4DD2">
            <w:pPr>
              <w:pStyle w:val="TableParagraph"/>
              <w:spacing w:line="240" w:lineRule="auto"/>
              <w:ind w:left="635" w:right="302" w:hanging="308"/>
              <w:rPr>
                <w:sz w:val="24"/>
              </w:rPr>
            </w:pPr>
            <w:r>
              <w:rPr>
                <w:sz w:val="24"/>
              </w:rPr>
              <w:t>DoubleLine Low Duration Bond Fund, Class R6</w:t>
            </w:r>
          </w:p>
        </w:tc>
        <w:tc>
          <w:tcPr>
            <w:tcW w:w="3039" w:type="dxa"/>
          </w:tcPr>
          <w:p w14:paraId="344365A2" w14:textId="7BF60FE4" w:rsidR="00FC4DD2" w:rsidRDefault="00FC4DD2">
            <w:pPr>
              <w:pStyle w:val="TableParagraph"/>
              <w:spacing w:line="275" w:lineRule="exact"/>
              <w:ind w:left="1056" w:right="1049"/>
              <w:jc w:val="center"/>
              <w:rPr>
                <w:sz w:val="24"/>
              </w:rPr>
            </w:pPr>
            <w:r>
              <w:rPr>
                <w:sz w:val="24"/>
              </w:rPr>
              <w:t>DDLDX</w:t>
            </w:r>
          </w:p>
        </w:tc>
        <w:tc>
          <w:tcPr>
            <w:tcW w:w="3082" w:type="dxa"/>
          </w:tcPr>
          <w:p w14:paraId="189ED271" w14:textId="5C343C28" w:rsidR="00FC4DD2" w:rsidRDefault="002041B1">
            <w:pPr>
              <w:pStyle w:val="TableParagraph"/>
              <w:spacing w:line="275" w:lineRule="exact"/>
              <w:ind w:left="949" w:right="943"/>
              <w:jc w:val="center"/>
              <w:rPr>
                <w:sz w:val="24"/>
              </w:rPr>
            </w:pPr>
            <w:r w:rsidRPr="002041B1">
              <w:rPr>
                <w:sz w:val="24"/>
              </w:rPr>
              <w:t>258620541</w:t>
            </w:r>
          </w:p>
        </w:tc>
      </w:tr>
      <w:tr w:rsidR="00616305" w14:paraId="07B09B46" w14:textId="77777777">
        <w:trPr>
          <w:trHeight w:val="672"/>
        </w:trPr>
        <w:tc>
          <w:tcPr>
            <w:tcW w:w="3219" w:type="dxa"/>
          </w:tcPr>
          <w:p w14:paraId="390B7103" w14:textId="77777777" w:rsidR="00616305" w:rsidRDefault="00461EBB">
            <w:pPr>
              <w:pStyle w:val="TableParagraph"/>
              <w:spacing w:line="240" w:lineRule="auto"/>
              <w:ind w:left="1278" w:right="20" w:hanging="1229"/>
              <w:rPr>
                <w:sz w:val="24"/>
              </w:rPr>
            </w:pPr>
            <w:r>
              <w:rPr>
                <w:sz w:val="24"/>
              </w:rPr>
              <w:t>DoubleLine Floating Rate Fund, Class I</w:t>
            </w:r>
          </w:p>
        </w:tc>
        <w:tc>
          <w:tcPr>
            <w:tcW w:w="3039" w:type="dxa"/>
          </w:tcPr>
          <w:p w14:paraId="06FB5417" w14:textId="77777777" w:rsidR="00616305" w:rsidRDefault="00461EBB">
            <w:pPr>
              <w:pStyle w:val="TableParagraph"/>
              <w:spacing w:line="275" w:lineRule="exact"/>
              <w:ind w:left="1056" w:right="1050"/>
              <w:jc w:val="center"/>
              <w:rPr>
                <w:sz w:val="24"/>
              </w:rPr>
            </w:pPr>
            <w:r>
              <w:rPr>
                <w:sz w:val="24"/>
              </w:rPr>
              <w:t>DBFRX</w:t>
            </w:r>
          </w:p>
        </w:tc>
        <w:tc>
          <w:tcPr>
            <w:tcW w:w="3082" w:type="dxa"/>
          </w:tcPr>
          <w:p w14:paraId="72D59B38" w14:textId="77777777" w:rsidR="00616305" w:rsidRDefault="00461EBB">
            <w:pPr>
              <w:pStyle w:val="TableParagraph"/>
              <w:spacing w:line="275" w:lineRule="exact"/>
              <w:ind w:left="949" w:right="943"/>
              <w:jc w:val="center"/>
              <w:rPr>
                <w:sz w:val="24"/>
              </w:rPr>
            </w:pPr>
            <w:r>
              <w:rPr>
                <w:sz w:val="24"/>
              </w:rPr>
              <w:t>258620 848</w:t>
            </w:r>
          </w:p>
        </w:tc>
      </w:tr>
      <w:tr w:rsidR="00616305" w14:paraId="770FF4B7" w14:textId="77777777">
        <w:trPr>
          <w:trHeight w:val="671"/>
        </w:trPr>
        <w:tc>
          <w:tcPr>
            <w:tcW w:w="3219" w:type="dxa"/>
          </w:tcPr>
          <w:p w14:paraId="1D417D83" w14:textId="5E75F9A3" w:rsidR="00616305" w:rsidRDefault="00FC4DD2">
            <w:pPr>
              <w:pStyle w:val="TableParagraph"/>
              <w:spacing w:line="240" w:lineRule="auto"/>
              <w:ind w:left="1230" w:right="20" w:hanging="1181"/>
              <w:rPr>
                <w:sz w:val="24"/>
              </w:rPr>
            </w:pPr>
            <w:r>
              <w:rPr>
                <w:sz w:val="24"/>
              </w:rPr>
              <w:t>D</w:t>
            </w:r>
            <w:r w:rsidR="00461EBB">
              <w:rPr>
                <w:sz w:val="24"/>
              </w:rPr>
              <w:t>oubleLine Floating Rate Fund, Class N</w:t>
            </w:r>
          </w:p>
        </w:tc>
        <w:tc>
          <w:tcPr>
            <w:tcW w:w="3039" w:type="dxa"/>
          </w:tcPr>
          <w:p w14:paraId="7478BD17" w14:textId="77777777" w:rsidR="00616305" w:rsidRDefault="00461EBB">
            <w:pPr>
              <w:pStyle w:val="TableParagraph"/>
              <w:spacing w:line="275" w:lineRule="exact"/>
              <w:ind w:left="1056" w:right="1050"/>
              <w:jc w:val="center"/>
              <w:rPr>
                <w:sz w:val="24"/>
              </w:rPr>
            </w:pPr>
            <w:r>
              <w:rPr>
                <w:sz w:val="24"/>
              </w:rPr>
              <w:t>DLFRX</w:t>
            </w:r>
          </w:p>
        </w:tc>
        <w:tc>
          <w:tcPr>
            <w:tcW w:w="3082" w:type="dxa"/>
          </w:tcPr>
          <w:p w14:paraId="56FB0587" w14:textId="77777777" w:rsidR="00616305" w:rsidRDefault="00461EBB">
            <w:pPr>
              <w:pStyle w:val="TableParagraph"/>
              <w:spacing w:line="275" w:lineRule="exact"/>
              <w:ind w:left="949" w:right="943"/>
              <w:jc w:val="center"/>
              <w:rPr>
                <w:sz w:val="24"/>
              </w:rPr>
            </w:pPr>
            <w:r>
              <w:rPr>
                <w:sz w:val="24"/>
              </w:rPr>
              <w:t>258620 830</w:t>
            </w:r>
          </w:p>
        </w:tc>
      </w:tr>
      <w:tr w:rsidR="00616305" w14:paraId="37737D45" w14:textId="77777777">
        <w:trPr>
          <w:trHeight w:val="674"/>
        </w:trPr>
        <w:tc>
          <w:tcPr>
            <w:tcW w:w="3219" w:type="dxa"/>
          </w:tcPr>
          <w:p w14:paraId="3A2C072B" w14:textId="77777777" w:rsidR="00616305" w:rsidRDefault="00461EBB">
            <w:pPr>
              <w:pStyle w:val="TableParagraph"/>
              <w:spacing w:before="10" w:line="228" w:lineRule="auto"/>
              <w:ind w:left="851" w:right="155" w:hanging="670"/>
              <w:rPr>
                <w:sz w:val="24"/>
              </w:rPr>
            </w:pPr>
            <w:r>
              <w:rPr>
                <w:sz w:val="24"/>
              </w:rPr>
              <w:t>DoubleLine Shiller Enhanced CAPE</w:t>
            </w:r>
            <w:r>
              <w:rPr>
                <w:position w:val="9"/>
                <w:sz w:val="16"/>
              </w:rPr>
              <w:t>®</w:t>
            </w:r>
            <w:r>
              <w:rPr>
                <w:sz w:val="24"/>
              </w:rPr>
              <w:t>, Class I</w:t>
            </w:r>
          </w:p>
        </w:tc>
        <w:tc>
          <w:tcPr>
            <w:tcW w:w="3039" w:type="dxa"/>
          </w:tcPr>
          <w:p w14:paraId="461BCBAC" w14:textId="77777777" w:rsidR="00616305" w:rsidRDefault="00461EBB">
            <w:pPr>
              <w:pStyle w:val="TableParagraph"/>
              <w:spacing w:line="275" w:lineRule="exact"/>
              <w:ind w:left="1056" w:right="1047"/>
              <w:jc w:val="center"/>
              <w:rPr>
                <w:sz w:val="24"/>
              </w:rPr>
            </w:pPr>
            <w:r>
              <w:rPr>
                <w:sz w:val="24"/>
              </w:rPr>
              <w:t>DSEEX</w:t>
            </w:r>
          </w:p>
        </w:tc>
        <w:tc>
          <w:tcPr>
            <w:tcW w:w="3082" w:type="dxa"/>
          </w:tcPr>
          <w:p w14:paraId="3361512A" w14:textId="77777777" w:rsidR="00616305" w:rsidRDefault="00461EBB">
            <w:pPr>
              <w:pStyle w:val="TableParagraph"/>
              <w:spacing w:line="275" w:lineRule="exact"/>
              <w:ind w:left="949" w:right="943"/>
              <w:jc w:val="center"/>
              <w:rPr>
                <w:sz w:val="24"/>
              </w:rPr>
            </w:pPr>
            <w:r>
              <w:rPr>
                <w:sz w:val="24"/>
              </w:rPr>
              <w:t>258620 822</w:t>
            </w:r>
          </w:p>
        </w:tc>
      </w:tr>
      <w:tr w:rsidR="00616305" w14:paraId="69922B0C" w14:textId="77777777">
        <w:trPr>
          <w:trHeight w:val="671"/>
        </w:trPr>
        <w:tc>
          <w:tcPr>
            <w:tcW w:w="3219" w:type="dxa"/>
          </w:tcPr>
          <w:p w14:paraId="50F6CAB1" w14:textId="77777777" w:rsidR="00616305" w:rsidRDefault="00461EBB">
            <w:pPr>
              <w:pStyle w:val="TableParagraph"/>
              <w:spacing w:before="10" w:line="228" w:lineRule="auto"/>
              <w:ind w:left="803" w:right="155" w:hanging="622"/>
              <w:rPr>
                <w:sz w:val="24"/>
              </w:rPr>
            </w:pPr>
            <w:r>
              <w:rPr>
                <w:sz w:val="24"/>
              </w:rPr>
              <w:lastRenderedPageBreak/>
              <w:t>DoubleLine Shiller Enhanced CAPE</w:t>
            </w:r>
            <w:r>
              <w:rPr>
                <w:position w:val="9"/>
                <w:sz w:val="16"/>
              </w:rPr>
              <w:t>®</w:t>
            </w:r>
            <w:r>
              <w:rPr>
                <w:sz w:val="24"/>
              </w:rPr>
              <w:t>, Class N</w:t>
            </w:r>
          </w:p>
        </w:tc>
        <w:tc>
          <w:tcPr>
            <w:tcW w:w="3039" w:type="dxa"/>
          </w:tcPr>
          <w:p w14:paraId="26CAC7B0" w14:textId="77777777" w:rsidR="00616305" w:rsidRDefault="00461EBB">
            <w:pPr>
              <w:pStyle w:val="TableParagraph"/>
              <w:spacing w:line="275" w:lineRule="exact"/>
              <w:ind w:left="1056" w:right="1049"/>
              <w:jc w:val="center"/>
              <w:rPr>
                <w:sz w:val="24"/>
              </w:rPr>
            </w:pPr>
            <w:r>
              <w:rPr>
                <w:sz w:val="24"/>
              </w:rPr>
              <w:t>DSENX</w:t>
            </w:r>
          </w:p>
        </w:tc>
        <w:tc>
          <w:tcPr>
            <w:tcW w:w="3082" w:type="dxa"/>
          </w:tcPr>
          <w:p w14:paraId="4C5B672E" w14:textId="77777777" w:rsidR="00616305" w:rsidRDefault="00461EBB">
            <w:pPr>
              <w:pStyle w:val="TableParagraph"/>
              <w:spacing w:line="275" w:lineRule="exact"/>
              <w:ind w:left="949" w:right="943"/>
              <w:jc w:val="center"/>
              <w:rPr>
                <w:sz w:val="24"/>
              </w:rPr>
            </w:pPr>
            <w:r>
              <w:rPr>
                <w:sz w:val="24"/>
              </w:rPr>
              <w:t>258620 814</w:t>
            </w:r>
          </w:p>
        </w:tc>
      </w:tr>
      <w:tr w:rsidR="00616305" w14:paraId="5410C931" w14:textId="77777777">
        <w:trPr>
          <w:trHeight w:val="671"/>
        </w:trPr>
        <w:tc>
          <w:tcPr>
            <w:tcW w:w="3219" w:type="dxa"/>
          </w:tcPr>
          <w:p w14:paraId="278A554F" w14:textId="77777777" w:rsidR="00616305" w:rsidRDefault="00461EBB">
            <w:pPr>
              <w:pStyle w:val="TableParagraph"/>
              <w:spacing w:before="10" w:line="228" w:lineRule="auto"/>
              <w:ind w:left="750" w:right="155" w:hanging="569"/>
              <w:rPr>
                <w:sz w:val="24"/>
              </w:rPr>
            </w:pPr>
            <w:r>
              <w:rPr>
                <w:sz w:val="24"/>
              </w:rPr>
              <w:t>DoubleLine Shiller Enhanced CAPE</w:t>
            </w:r>
            <w:r>
              <w:rPr>
                <w:position w:val="9"/>
                <w:sz w:val="16"/>
              </w:rPr>
              <w:t>®</w:t>
            </w:r>
            <w:r>
              <w:rPr>
                <w:sz w:val="24"/>
              </w:rPr>
              <w:t>, Class R6</w:t>
            </w:r>
          </w:p>
        </w:tc>
        <w:tc>
          <w:tcPr>
            <w:tcW w:w="3039" w:type="dxa"/>
          </w:tcPr>
          <w:p w14:paraId="00F78B66" w14:textId="77777777" w:rsidR="00616305" w:rsidRDefault="00461EBB">
            <w:pPr>
              <w:pStyle w:val="TableParagraph"/>
              <w:spacing w:line="275" w:lineRule="exact"/>
              <w:ind w:left="1056" w:right="1050"/>
              <w:jc w:val="center"/>
              <w:rPr>
                <w:sz w:val="24"/>
              </w:rPr>
            </w:pPr>
            <w:r>
              <w:rPr>
                <w:sz w:val="24"/>
              </w:rPr>
              <w:t>DDCPX</w:t>
            </w:r>
          </w:p>
        </w:tc>
        <w:tc>
          <w:tcPr>
            <w:tcW w:w="3082" w:type="dxa"/>
          </w:tcPr>
          <w:p w14:paraId="33AB7769" w14:textId="77777777" w:rsidR="00616305" w:rsidRDefault="00461EBB">
            <w:pPr>
              <w:pStyle w:val="TableParagraph"/>
              <w:spacing w:line="275" w:lineRule="exact"/>
              <w:ind w:left="949" w:right="941"/>
              <w:jc w:val="center"/>
              <w:rPr>
                <w:sz w:val="24"/>
              </w:rPr>
            </w:pPr>
            <w:r>
              <w:rPr>
                <w:sz w:val="24"/>
              </w:rPr>
              <w:t>258620525</w:t>
            </w:r>
          </w:p>
        </w:tc>
      </w:tr>
      <w:tr w:rsidR="00616305" w14:paraId="156BB43D" w14:textId="77777777">
        <w:trPr>
          <w:trHeight w:val="673"/>
        </w:trPr>
        <w:tc>
          <w:tcPr>
            <w:tcW w:w="3219" w:type="dxa"/>
          </w:tcPr>
          <w:p w14:paraId="23033E2C" w14:textId="77777777" w:rsidR="00616305" w:rsidRDefault="00461EBB">
            <w:pPr>
              <w:pStyle w:val="TableParagraph"/>
              <w:spacing w:before="1" w:line="240" w:lineRule="auto"/>
              <w:ind w:left="971" w:right="194" w:hanging="749"/>
              <w:rPr>
                <w:sz w:val="24"/>
              </w:rPr>
            </w:pPr>
            <w:r>
              <w:rPr>
                <w:sz w:val="24"/>
              </w:rPr>
              <w:t>DoubleLine Flexible Income Fund, Class I</w:t>
            </w:r>
          </w:p>
        </w:tc>
        <w:tc>
          <w:tcPr>
            <w:tcW w:w="3039" w:type="dxa"/>
          </w:tcPr>
          <w:p w14:paraId="4E74E637" w14:textId="77777777" w:rsidR="00616305" w:rsidRDefault="00461EBB">
            <w:pPr>
              <w:pStyle w:val="TableParagraph"/>
              <w:spacing w:before="1" w:line="240" w:lineRule="auto"/>
              <w:ind w:left="1056" w:right="1049"/>
              <w:jc w:val="center"/>
              <w:rPr>
                <w:sz w:val="24"/>
              </w:rPr>
            </w:pPr>
            <w:r>
              <w:rPr>
                <w:sz w:val="24"/>
              </w:rPr>
              <w:t>DFLEX</w:t>
            </w:r>
          </w:p>
        </w:tc>
        <w:tc>
          <w:tcPr>
            <w:tcW w:w="3082" w:type="dxa"/>
          </w:tcPr>
          <w:p w14:paraId="75B0A9B6" w14:textId="77777777" w:rsidR="00616305" w:rsidRDefault="00461EBB">
            <w:pPr>
              <w:pStyle w:val="TableParagraph"/>
              <w:spacing w:before="1" w:line="240" w:lineRule="auto"/>
              <w:ind w:left="949" w:right="943"/>
              <w:jc w:val="center"/>
              <w:rPr>
                <w:sz w:val="24"/>
              </w:rPr>
            </w:pPr>
            <w:r>
              <w:rPr>
                <w:sz w:val="24"/>
              </w:rPr>
              <w:t>258620 798</w:t>
            </w:r>
          </w:p>
        </w:tc>
      </w:tr>
      <w:tr w:rsidR="00616305" w14:paraId="4DC5E7F5" w14:textId="77777777">
        <w:trPr>
          <w:trHeight w:val="671"/>
        </w:trPr>
        <w:tc>
          <w:tcPr>
            <w:tcW w:w="3219" w:type="dxa"/>
          </w:tcPr>
          <w:p w14:paraId="5FEE4B38" w14:textId="77777777" w:rsidR="00616305" w:rsidRDefault="00461EBB">
            <w:pPr>
              <w:pStyle w:val="TableParagraph"/>
              <w:spacing w:line="240" w:lineRule="auto"/>
              <w:ind w:left="923" w:right="194" w:hanging="701"/>
              <w:rPr>
                <w:sz w:val="24"/>
              </w:rPr>
            </w:pPr>
            <w:r>
              <w:rPr>
                <w:sz w:val="24"/>
              </w:rPr>
              <w:t>DoubleLine Flexible Income Fund, Class N</w:t>
            </w:r>
          </w:p>
        </w:tc>
        <w:tc>
          <w:tcPr>
            <w:tcW w:w="3039" w:type="dxa"/>
          </w:tcPr>
          <w:p w14:paraId="53C892FC" w14:textId="77777777" w:rsidR="00616305" w:rsidRDefault="00461EBB">
            <w:pPr>
              <w:pStyle w:val="TableParagraph"/>
              <w:spacing w:line="275" w:lineRule="exact"/>
              <w:ind w:left="1055" w:right="1051"/>
              <w:jc w:val="center"/>
              <w:rPr>
                <w:sz w:val="24"/>
              </w:rPr>
            </w:pPr>
            <w:r>
              <w:rPr>
                <w:sz w:val="24"/>
              </w:rPr>
              <w:t>DLINX</w:t>
            </w:r>
          </w:p>
        </w:tc>
        <w:tc>
          <w:tcPr>
            <w:tcW w:w="3082" w:type="dxa"/>
          </w:tcPr>
          <w:p w14:paraId="50BBC01D" w14:textId="77777777" w:rsidR="00616305" w:rsidRDefault="00461EBB">
            <w:pPr>
              <w:pStyle w:val="TableParagraph"/>
              <w:spacing w:line="275" w:lineRule="exact"/>
              <w:ind w:left="949" w:right="943"/>
              <w:jc w:val="center"/>
              <w:rPr>
                <w:sz w:val="24"/>
              </w:rPr>
            </w:pPr>
            <w:r>
              <w:rPr>
                <w:sz w:val="24"/>
              </w:rPr>
              <w:t>258620 780</w:t>
            </w:r>
          </w:p>
        </w:tc>
      </w:tr>
      <w:tr w:rsidR="00616305" w14:paraId="261EDEC9" w14:textId="77777777">
        <w:trPr>
          <w:trHeight w:val="672"/>
        </w:trPr>
        <w:tc>
          <w:tcPr>
            <w:tcW w:w="3219" w:type="dxa"/>
          </w:tcPr>
          <w:p w14:paraId="3C609086" w14:textId="77777777" w:rsidR="00616305" w:rsidRDefault="00461EBB">
            <w:pPr>
              <w:pStyle w:val="TableParagraph"/>
              <w:spacing w:line="240" w:lineRule="auto"/>
              <w:ind w:left="870" w:right="194" w:hanging="648"/>
              <w:rPr>
                <w:sz w:val="24"/>
              </w:rPr>
            </w:pPr>
            <w:r>
              <w:rPr>
                <w:sz w:val="24"/>
              </w:rPr>
              <w:t>DoubleLine Flexible Income Fund, Class R6</w:t>
            </w:r>
          </w:p>
        </w:tc>
        <w:tc>
          <w:tcPr>
            <w:tcW w:w="3039" w:type="dxa"/>
          </w:tcPr>
          <w:p w14:paraId="5F953B72" w14:textId="77777777" w:rsidR="00616305" w:rsidRDefault="00461EBB">
            <w:pPr>
              <w:pStyle w:val="TableParagraph"/>
              <w:spacing w:line="275" w:lineRule="exact"/>
              <w:ind w:left="1055" w:right="1051"/>
              <w:jc w:val="center"/>
              <w:rPr>
                <w:sz w:val="24"/>
              </w:rPr>
            </w:pPr>
            <w:r>
              <w:rPr>
                <w:sz w:val="24"/>
              </w:rPr>
              <w:t>DFFLX</w:t>
            </w:r>
          </w:p>
        </w:tc>
        <w:tc>
          <w:tcPr>
            <w:tcW w:w="3082" w:type="dxa"/>
          </w:tcPr>
          <w:p w14:paraId="7B166B4A" w14:textId="77777777" w:rsidR="00616305" w:rsidRDefault="00461EBB">
            <w:pPr>
              <w:pStyle w:val="TableParagraph"/>
              <w:spacing w:line="275" w:lineRule="exact"/>
              <w:ind w:left="949" w:right="941"/>
              <w:jc w:val="center"/>
              <w:rPr>
                <w:sz w:val="24"/>
              </w:rPr>
            </w:pPr>
            <w:r>
              <w:rPr>
                <w:sz w:val="24"/>
              </w:rPr>
              <w:t>258620533</w:t>
            </w:r>
          </w:p>
        </w:tc>
      </w:tr>
      <w:tr w:rsidR="00616305" w14:paraId="04F86CE8" w14:textId="77777777">
        <w:trPr>
          <w:trHeight w:val="947"/>
        </w:trPr>
        <w:tc>
          <w:tcPr>
            <w:tcW w:w="3219" w:type="dxa"/>
          </w:tcPr>
          <w:p w14:paraId="095583E3" w14:textId="77777777" w:rsidR="00616305" w:rsidRDefault="00461EBB">
            <w:pPr>
              <w:pStyle w:val="TableParagraph"/>
              <w:spacing w:line="240" w:lineRule="auto"/>
              <w:ind w:left="110" w:right="102"/>
              <w:jc w:val="center"/>
              <w:rPr>
                <w:sz w:val="24"/>
              </w:rPr>
            </w:pPr>
            <w:r>
              <w:rPr>
                <w:sz w:val="24"/>
              </w:rPr>
              <w:t>DoubleLine Low Duration Emerging Markets Fixed Income Fund, Class I</w:t>
            </w:r>
          </w:p>
        </w:tc>
        <w:tc>
          <w:tcPr>
            <w:tcW w:w="3039" w:type="dxa"/>
          </w:tcPr>
          <w:p w14:paraId="30B15E27" w14:textId="77777777" w:rsidR="00616305" w:rsidRDefault="00461EBB">
            <w:pPr>
              <w:pStyle w:val="TableParagraph"/>
              <w:spacing w:line="275" w:lineRule="exact"/>
              <w:ind w:left="1056" w:right="1049"/>
              <w:jc w:val="center"/>
              <w:rPr>
                <w:sz w:val="24"/>
              </w:rPr>
            </w:pPr>
            <w:r>
              <w:rPr>
                <w:sz w:val="24"/>
              </w:rPr>
              <w:t>DBLLX</w:t>
            </w:r>
          </w:p>
        </w:tc>
        <w:tc>
          <w:tcPr>
            <w:tcW w:w="3082" w:type="dxa"/>
          </w:tcPr>
          <w:p w14:paraId="1F75CAF9" w14:textId="77777777" w:rsidR="00616305" w:rsidRDefault="00461EBB">
            <w:pPr>
              <w:pStyle w:val="TableParagraph"/>
              <w:spacing w:line="275" w:lineRule="exact"/>
              <w:ind w:left="949" w:right="943"/>
              <w:jc w:val="center"/>
              <w:rPr>
                <w:sz w:val="24"/>
              </w:rPr>
            </w:pPr>
            <w:r>
              <w:rPr>
                <w:sz w:val="24"/>
              </w:rPr>
              <w:t>258620 772</w:t>
            </w:r>
          </w:p>
        </w:tc>
      </w:tr>
      <w:tr w:rsidR="00616305" w14:paraId="25F0ED23" w14:textId="77777777">
        <w:trPr>
          <w:trHeight w:val="947"/>
        </w:trPr>
        <w:tc>
          <w:tcPr>
            <w:tcW w:w="3219" w:type="dxa"/>
          </w:tcPr>
          <w:p w14:paraId="4976A778" w14:textId="77777777" w:rsidR="00616305" w:rsidRDefault="00461EBB">
            <w:pPr>
              <w:pStyle w:val="TableParagraph"/>
              <w:spacing w:line="240" w:lineRule="auto"/>
              <w:ind w:left="110" w:right="102"/>
              <w:jc w:val="center"/>
              <w:rPr>
                <w:sz w:val="24"/>
              </w:rPr>
            </w:pPr>
            <w:r>
              <w:rPr>
                <w:sz w:val="24"/>
              </w:rPr>
              <w:t>DoubleLine Low Duration Emerging Markets Fixed Income Fund, Class N</w:t>
            </w:r>
          </w:p>
        </w:tc>
        <w:tc>
          <w:tcPr>
            <w:tcW w:w="3039" w:type="dxa"/>
          </w:tcPr>
          <w:p w14:paraId="6803805B" w14:textId="77777777" w:rsidR="00616305" w:rsidRDefault="00461EBB">
            <w:pPr>
              <w:pStyle w:val="TableParagraph"/>
              <w:spacing w:line="275" w:lineRule="exact"/>
              <w:ind w:left="1055" w:right="1051"/>
              <w:jc w:val="center"/>
              <w:rPr>
                <w:sz w:val="24"/>
              </w:rPr>
            </w:pPr>
            <w:r>
              <w:rPr>
                <w:sz w:val="24"/>
              </w:rPr>
              <w:t>DELNX</w:t>
            </w:r>
          </w:p>
        </w:tc>
        <w:tc>
          <w:tcPr>
            <w:tcW w:w="3082" w:type="dxa"/>
          </w:tcPr>
          <w:p w14:paraId="69601420" w14:textId="77777777" w:rsidR="00616305" w:rsidRDefault="00461EBB">
            <w:pPr>
              <w:pStyle w:val="TableParagraph"/>
              <w:spacing w:line="275" w:lineRule="exact"/>
              <w:ind w:left="949" w:right="943"/>
              <w:jc w:val="center"/>
              <w:rPr>
                <w:sz w:val="24"/>
              </w:rPr>
            </w:pPr>
            <w:r>
              <w:rPr>
                <w:sz w:val="24"/>
              </w:rPr>
              <w:t>258620 764</w:t>
            </w:r>
          </w:p>
        </w:tc>
      </w:tr>
      <w:tr w:rsidR="00616305" w14:paraId="4CB0FC5B" w14:textId="77777777">
        <w:trPr>
          <w:trHeight w:val="947"/>
        </w:trPr>
        <w:tc>
          <w:tcPr>
            <w:tcW w:w="3219" w:type="dxa"/>
          </w:tcPr>
          <w:p w14:paraId="2A4C4A97" w14:textId="77777777" w:rsidR="00616305" w:rsidRDefault="00461EBB">
            <w:pPr>
              <w:pStyle w:val="TableParagraph"/>
              <w:spacing w:line="240" w:lineRule="auto"/>
              <w:ind w:left="110" w:right="102"/>
              <w:jc w:val="center"/>
              <w:rPr>
                <w:sz w:val="24"/>
              </w:rPr>
            </w:pPr>
            <w:r>
              <w:rPr>
                <w:sz w:val="24"/>
              </w:rPr>
              <w:t>DoubleLine Long Duration Total Return Bond Fund, Class I</w:t>
            </w:r>
          </w:p>
        </w:tc>
        <w:tc>
          <w:tcPr>
            <w:tcW w:w="3039" w:type="dxa"/>
          </w:tcPr>
          <w:p w14:paraId="4BD64C6F" w14:textId="77777777" w:rsidR="00616305" w:rsidRDefault="00461EBB">
            <w:pPr>
              <w:pStyle w:val="TableParagraph"/>
              <w:spacing w:line="275" w:lineRule="exact"/>
              <w:ind w:left="1056" w:right="1047"/>
              <w:jc w:val="center"/>
              <w:rPr>
                <w:sz w:val="24"/>
              </w:rPr>
            </w:pPr>
            <w:r>
              <w:rPr>
                <w:sz w:val="24"/>
              </w:rPr>
              <w:t>DBLDX</w:t>
            </w:r>
          </w:p>
        </w:tc>
        <w:tc>
          <w:tcPr>
            <w:tcW w:w="3082" w:type="dxa"/>
          </w:tcPr>
          <w:p w14:paraId="773F2666" w14:textId="77777777" w:rsidR="00616305" w:rsidRDefault="00461EBB">
            <w:pPr>
              <w:pStyle w:val="TableParagraph"/>
              <w:spacing w:line="275" w:lineRule="exact"/>
              <w:ind w:left="949" w:right="943"/>
              <w:jc w:val="center"/>
              <w:rPr>
                <w:sz w:val="24"/>
              </w:rPr>
            </w:pPr>
            <w:r>
              <w:rPr>
                <w:sz w:val="24"/>
              </w:rPr>
              <w:t>258620 749</w:t>
            </w:r>
          </w:p>
        </w:tc>
      </w:tr>
      <w:tr w:rsidR="00616305" w14:paraId="6AF5D41C" w14:textId="77777777">
        <w:trPr>
          <w:trHeight w:val="950"/>
        </w:trPr>
        <w:tc>
          <w:tcPr>
            <w:tcW w:w="3219" w:type="dxa"/>
          </w:tcPr>
          <w:p w14:paraId="3CCE1F14" w14:textId="77777777" w:rsidR="00616305" w:rsidRDefault="00461EBB">
            <w:pPr>
              <w:pStyle w:val="TableParagraph"/>
              <w:spacing w:before="1" w:line="240" w:lineRule="auto"/>
              <w:ind w:left="110" w:right="102"/>
              <w:jc w:val="center"/>
              <w:rPr>
                <w:sz w:val="24"/>
              </w:rPr>
            </w:pPr>
            <w:r>
              <w:rPr>
                <w:sz w:val="24"/>
              </w:rPr>
              <w:t>DoubleLine Long Duration Total Return Bond Fund, Class N</w:t>
            </w:r>
          </w:p>
        </w:tc>
        <w:tc>
          <w:tcPr>
            <w:tcW w:w="3039" w:type="dxa"/>
          </w:tcPr>
          <w:p w14:paraId="4A8B0AF2" w14:textId="77777777" w:rsidR="00616305" w:rsidRDefault="00461EBB">
            <w:pPr>
              <w:pStyle w:val="TableParagraph"/>
              <w:spacing w:before="1" w:line="240" w:lineRule="auto"/>
              <w:ind w:left="1055" w:right="1051"/>
              <w:jc w:val="center"/>
              <w:rPr>
                <w:sz w:val="24"/>
              </w:rPr>
            </w:pPr>
            <w:r>
              <w:rPr>
                <w:sz w:val="24"/>
              </w:rPr>
              <w:t>DLLDX</w:t>
            </w:r>
          </w:p>
        </w:tc>
        <w:tc>
          <w:tcPr>
            <w:tcW w:w="3082" w:type="dxa"/>
          </w:tcPr>
          <w:p w14:paraId="532FC718" w14:textId="77777777" w:rsidR="00616305" w:rsidRDefault="00461EBB">
            <w:pPr>
              <w:pStyle w:val="TableParagraph"/>
              <w:spacing w:before="1" w:line="240" w:lineRule="auto"/>
              <w:ind w:left="949" w:right="943"/>
              <w:jc w:val="center"/>
              <w:rPr>
                <w:sz w:val="24"/>
              </w:rPr>
            </w:pPr>
            <w:r>
              <w:rPr>
                <w:sz w:val="24"/>
              </w:rPr>
              <w:t>258620 731</w:t>
            </w:r>
          </w:p>
        </w:tc>
      </w:tr>
      <w:tr w:rsidR="00616305" w14:paraId="6CFF1D45" w14:textId="77777777">
        <w:trPr>
          <w:trHeight w:val="671"/>
        </w:trPr>
        <w:tc>
          <w:tcPr>
            <w:tcW w:w="3219" w:type="dxa"/>
          </w:tcPr>
          <w:p w14:paraId="73D721B1" w14:textId="77777777" w:rsidR="00616305" w:rsidRDefault="00461EBB">
            <w:pPr>
              <w:pStyle w:val="TableParagraph"/>
              <w:spacing w:line="240" w:lineRule="auto"/>
              <w:ind w:left="369" w:right="339" w:firstLine="211"/>
              <w:rPr>
                <w:sz w:val="24"/>
              </w:rPr>
            </w:pPr>
            <w:r>
              <w:rPr>
                <w:sz w:val="24"/>
              </w:rPr>
              <w:t>DoubleLine Strategic Commodity Fund, Class I</w:t>
            </w:r>
          </w:p>
        </w:tc>
        <w:tc>
          <w:tcPr>
            <w:tcW w:w="3039" w:type="dxa"/>
          </w:tcPr>
          <w:p w14:paraId="1F347651" w14:textId="77777777" w:rsidR="00616305" w:rsidRDefault="00461EBB">
            <w:pPr>
              <w:pStyle w:val="TableParagraph"/>
              <w:spacing w:line="275" w:lineRule="exact"/>
              <w:ind w:left="1056" w:right="1050"/>
              <w:jc w:val="center"/>
              <w:rPr>
                <w:sz w:val="24"/>
              </w:rPr>
            </w:pPr>
            <w:r>
              <w:rPr>
                <w:sz w:val="24"/>
              </w:rPr>
              <w:t>DBCMX</w:t>
            </w:r>
          </w:p>
        </w:tc>
        <w:tc>
          <w:tcPr>
            <w:tcW w:w="3082" w:type="dxa"/>
          </w:tcPr>
          <w:p w14:paraId="3AABD45F" w14:textId="77777777" w:rsidR="00616305" w:rsidRDefault="00461EBB">
            <w:pPr>
              <w:pStyle w:val="TableParagraph"/>
              <w:spacing w:line="275" w:lineRule="exact"/>
              <w:ind w:left="949" w:right="943"/>
              <w:jc w:val="center"/>
              <w:rPr>
                <w:sz w:val="24"/>
              </w:rPr>
            </w:pPr>
            <w:r>
              <w:rPr>
                <w:sz w:val="24"/>
              </w:rPr>
              <w:t>258620 715</w:t>
            </w:r>
          </w:p>
        </w:tc>
      </w:tr>
      <w:tr w:rsidR="00616305" w14:paraId="193A4175" w14:textId="77777777">
        <w:trPr>
          <w:trHeight w:val="671"/>
        </w:trPr>
        <w:tc>
          <w:tcPr>
            <w:tcW w:w="3219" w:type="dxa"/>
          </w:tcPr>
          <w:p w14:paraId="1212DB54" w14:textId="77777777" w:rsidR="00616305" w:rsidRDefault="00461EBB">
            <w:pPr>
              <w:pStyle w:val="TableParagraph"/>
              <w:spacing w:line="240" w:lineRule="auto"/>
              <w:ind w:left="321" w:right="294" w:firstLine="259"/>
              <w:rPr>
                <w:sz w:val="24"/>
              </w:rPr>
            </w:pPr>
            <w:r>
              <w:rPr>
                <w:sz w:val="24"/>
              </w:rPr>
              <w:t>DoubleLine Strategic Commodity Fund, Class N</w:t>
            </w:r>
          </w:p>
        </w:tc>
        <w:tc>
          <w:tcPr>
            <w:tcW w:w="3039" w:type="dxa"/>
          </w:tcPr>
          <w:p w14:paraId="7874D158" w14:textId="77777777" w:rsidR="00616305" w:rsidRDefault="00461EBB">
            <w:pPr>
              <w:pStyle w:val="TableParagraph"/>
              <w:spacing w:line="275" w:lineRule="exact"/>
              <w:ind w:left="1056" w:right="1050"/>
              <w:jc w:val="center"/>
              <w:rPr>
                <w:sz w:val="24"/>
              </w:rPr>
            </w:pPr>
            <w:r>
              <w:rPr>
                <w:sz w:val="24"/>
              </w:rPr>
              <w:t>DLCMX</w:t>
            </w:r>
          </w:p>
        </w:tc>
        <w:tc>
          <w:tcPr>
            <w:tcW w:w="3082" w:type="dxa"/>
          </w:tcPr>
          <w:p w14:paraId="34902723" w14:textId="77777777" w:rsidR="00616305" w:rsidRDefault="00461EBB">
            <w:pPr>
              <w:pStyle w:val="TableParagraph"/>
              <w:spacing w:line="275" w:lineRule="exact"/>
              <w:ind w:left="949" w:right="943"/>
              <w:jc w:val="center"/>
              <w:rPr>
                <w:sz w:val="24"/>
              </w:rPr>
            </w:pPr>
            <w:r>
              <w:rPr>
                <w:sz w:val="24"/>
              </w:rPr>
              <w:t>258620 723</w:t>
            </w:r>
          </w:p>
        </w:tc>
      </w:tr>
      <w:tr w:rsidR="00616305" w14:paraId="793EE92A" w14:textId="77777777">
        <w:trPr>
          <w:trHeight w:val="672"/>
        </w:trPr>
        <w:tc>
          <w:tcPr>
            <w:tcW w:w="3219" w:type="dxa"/>
          </w:tcPr>
          <w:p w14:paraId="6AEDF3E0" w14:textId="77777777" w:rsidR="00616305" w:rsidRDefault="00461EBB">
            <w:pPr>
              <w:pStyle w:val="TableParagraph"/>
              <w:spacing w:line="240" w:lineRule="auto"/>
              <w:ind w:left="1278" w:right="55" w:hanging="1198"/>
              <w:rPr>
                <w:sz w:val="24"/>
              </w:rPr>
            </w:pPr>
            <w:r>
              <w:rPr>
                <w:sz w:val="24"/>
              </w:rPr>
              <w:t>DoubleLine Global Bond Fund, Class I</w:t>
            </w:r>
          </w:p>
        </w:tc>
        <w:tc>
          <w:tcPr>
            <w:tcW w:w="3039" w:type="dxa"/>
          </w:tcPr>
          <w:p w14:paraId="45B1D86D" w14:textId="77777777" w:rsidR="00616305" w:rsidRDefault="00461EBB">
            <w:pPr>
              <w:pStyle w:val="TableParagraph"/>
              <w:spacing w:line="276" w:lineRule="exact"/>
              <w:ind w:left="1056" w:right="1047"/>
              <w:jc w:val="center"/>
              <w:rPr>
                <w:sz w:val="24"/>
              </w:rPr>
            </w:pPr>
            <w:r>
              <w:rPr>
                <w:sz w:val="24"/>
              </w:rPr>
              <w:t>DBLGX</w:t>
            </w:r>
          </w:p>
        </w:tc>
        <w:tc>
          <w:tcPr>
            <w:tcW w:w="3082" w:type="dxa"/>
          </w:tcPr>
          <w:p w14:paraId="52C8B7C5" w14:textId="77777777" w:rsidR="00616305" w:rsidRDefault="00461EBB">
            <w:pPr>
              <w:pStyle w:val="TableParagraph"/>
              <w:spacing w:line="276" w:lineRule="exact"/>
              <w:ind w:left="949" w:right="943"/>
              <w:jc w:val="center"/>
              <w:rPr>
                <w:sz w:val="24"/>
              </w:rPr>
            </w:pPr>
            <w:r>
              <w:rPr>
                <w:sz w:val="24"/>
              </w:rPr>
              <w:t>258620 699</w:t>
            </w:r>
          </w:p>
        </w:tc>
      </w:tr>
      <w:tr w:rsidR="00616305" w14:paraId="2F937B0F" w14:textId="77777777">
        <w:trPr>
          <w:trHeight w:val="671"/>
        </w:trPr>
        <w:tc>
          <w:tcPr>
            <w:tcW w:w="3219" w:type="dxa"/>
          </w:tcPr>
          <w:p w14:paraId="7D83DFF9" w14:textId="77777777" w:rsidR="00616305" w:rsidRDefault="00461EBB">
            <w:pPr>
              <w:pStyle w:val="TableParagraph"/>
              <w:spacing w:line="240" w:lineRule="auto"/>
              <w:ind w:left="1230" w:right="55" w:hanging="1150"/>
              <w:rPr>
                <w:sz w:val="24"/>
              </w:rPr>
            </w:pPr>
            <w:r>
              <w:rPr>
                <w:sz w:val="24"/>
              </w:rPr>
              <w:t>DoubleLine Global Bond Fund, Class N</w:t>
            </w:r>
          </w:p>
        </w:tc>
        <w:tc>
          <w:tcPr>
            <w:tcW w:w="3039" w:type="dxa"/>
          </w:tcPr>
          <w:p w14:paraId="47344D11" w14:textId="77777777" w:rsidR="00616305" w:rsidRDefault="00461EBB">
            <w:pPr>
              <w:pStyle w:val="TableParagraph"/>
              <w:spacing w:line="275" w:lineRule="exact"/>
              <w:ind w:left="1056" w:right="1047"/>
              <w:jc w:val="center"/>
              <w:rPr>
                <w:sz w:val="24"/>
              </w:rPr>
            </w:pPr>
            <w:r>
              <w:rPr>
                <w:sz w:val="24"/>
              </w:rPr>
              <w:t>DLGBX</w:t>
            </w:r>
          </w:p>
        </w:tc>
        <w:tc>
          <w:tcPr>
            <w:tcW w:w="3082" w:type="dxa"/>
          </w:tcPr>
          <w:p w14:paraId="3C7D5786" w14:textId="77777777" w:rsidR="00616305" w:rsidRDefault="00461EBB">
            <w:pPr>
              <w:pStyle w:val="TableParagraph"/>
              <w:spacing w:line="275" w:lineRule="exact"/>
              <w:ind w:left="949" w:right="943"/>
              <w:jc w:val="center"/>
              <w:rPr>
                <w:sz w:val="24"/>
              </w:rPr>
            </w:pPr>
            <w:r>
              <w:rPr>
                <w:sz w:val="24"/>
              </w:rPr>
              <w:t>258620 681</w:t>
            </w:r>
          </w:p>
        </w:tc>
      </w:tr>
      <w:tr w:rsidR="00616305" w14:paraId="3FF9B910" w14:textId="77777777">
        <w:trPr>
          <w:trHeight w:val="671"/>
        </w:trPr>
        <w:tc>
          <w:tcPr>
            <w:tcW w:w="3219" w:type="dxa"/>
          </w:tcPr>
          <w:p w14:paraId="47E4BDF3" w14:textId="77777777" w:rsidR="00616305" w:rsidRDefault="00461EBB">
            <w:pPr>
              <w:pStyle w:val="TableParagraph"/>
              <w:spacing w:line="240" w:lineRule="auto"/>
              <w:ind w:left="580" w:right="324" w:hanging="228"/>
              <w:rPr>
                <w:sz w:val="24"/>
              </w:rPr>
            </w:pPr>
            <w:r>
              <w:rPr>
                <w:sz w:val="24"/>
              </w:rPr>
              <w:t>DoubleLine Infrastructure Income Fund, Class I</w:t>
            </w:r>
          </w:p>
        </w:tc>
        <w:tc>
          <w:tcPr>
            <w:tcW w:w="3039" w:type="dxa"/>
          </w:tcPr>
          <w:p w14:paraId="2D57E267" w14:textId="77777777" w:rsidR="00616305" w:rsidRDefault="00461EBB">
            <w:pPr>
              <w:pStyle w:val="TableParagraph"/>
              <w:spacing w:line="275" w:lineRule="exact"/>
              <w:ind w:left="1056" w:right="1050"/>
              <w:jc w:val="center"/>
              <w:rPr>
                <w:sz w:val="24"/>
              </w:rPr>
            </w:pPr>
            <w:r>
              <w:rPr>
                <w:sz w:val="24"/>
              </w:rPr>
              <w:t>BILDX</w:t>
            </w:r>
          </w:p>
        </w:tc>
        <w:tc>
          <w:tcPr>
            <w:tcW w:w="3082" w:type="dxa"/>
          </w:tcPr>
          <w:p w14:paraId="1F955C11" w14:textId="77777777" w:rsidR="00616305" w:rsidRDefault="00461EBB">
            <w:pPr>
              <w:pStyle w:val="TableParagraph"/>
              <w:spacing w:line="275" w:lineRule="exact"/>
              <w:ind w:left="949" w:right="943"/>
              <w:jc w:val="center"/>
              <w:rPr>
                <w:sz w:val="24"/>
              </w:rPr>
            </w:pPr>
            <w:r>
              <w:rPr>
                <w:sz w:val="24"/>
              </w:rPr>
              <w:t>258620 673</w:t>
            </w:r>
          </w:p>
        </w:tc>
      </w:tr>
      <w:tr w:rsidR="00616305" w14:paraId="62103A16" w14:textId="77777777">
        <w:trPr>
          <w:trHeight w:val="673"/>
        </w:trPr>
        <w:tc>
          <w:tcPr>
            <w:tcW w:w="3219" w:type="dxa"/>
          </w:tcPr>
          <w:p w14:paraId="6A3D8030" w14:textId="77777777" w:rsidR="00616305" w:rsidRDefault="00461EBB">
            <w:pPr>
              <w:pStyle w:val="TableParagraph"/>
              <w:spacing w:line="240" w:lineRule="auto"/>
              <w:ind w:left="535" w:right="324" w:hanging="183"/>
              <w:rPr>
                <w:sz w:val="24"/>
              </w:rPr>
            </w:pPr>
            <w:r>
              <w:rPr>
                <w:sz w:val="24"/>
              </w:rPr>
              <w:t>DoubleLine Infrastructure Income Fund, Class N</w:t>
            </w:r>
          </w:p>
        </w:tc>
        <w:tc>
          <w:tcPr>
            <w:tcW w:w="3039" w:type="dxa"/>
          </w:tcPr>
          <w:p w14:paraId="546BA86C" w14:textId="77777777" w:rsidR="00616305" w:rsidRDefault="00461EBB">
            <w:pPr>
              <w:pStyle w:val="TableParagraph"/>
              <w:spacing w:line="275" w:lineRule="exact"/>
              <w:ind w:left="1056" w:right="1049"/>
              <w:jc w:val="center"/>
              <w:rPr>
                <w:sz w:val="24"/>
              </w:rPr>
            </w:pPr>
            <w:r>
              <w:rPr>
                <w:sz w:val="24"/>
              </w:rPr>
              <w:t>BILTX</w:t>
            </w:r>
          </w:p>
        </w:tc>
        <w:tc>
          <w:tcPr>
            <w:tcW w:w="3082" w:type="dxa"/>
          </w:tcPr>
          <w:p w14:paraId="41292228" w14:textId="77777777" w:rsidR="00616305" w:rsidRDefault="00461EBB">
            <w:pPr>
              <w:pStyle w:val="TableParagraph"/>
              <w:spacing w:line="275" w:lineRule="exact"/>
              <w:ind w:left="949" w:right="943"/>
              <w:jc w:val="center"/>
              <w:rPr>
                <w:sz w:val="24"/>
              </w:rPr>
            </w:pPr>
            <w:r>
              <w:rPr>
                <w:sz w:val="24"/>
              </w:rPr>
              <w:t>258620 665</w:t>
            </w:r>
          </w:p>
        </w:tc>
      </w:tr>
      <w:tr w:rsidR="00616305" w14:paraId="33B39A2E" w14:textId="77777777">
        <w:trPr>
          <w:trHeight w:val="671"/>
        </w:trPr>
        <w:tc>
          <w:tcPr>
            <w:tcW w:w="3219" w:type="dxa"/>
          </w:tcPr>
          <w:p w14:paraId="4D09736E" w14:textId="77777777" w:rsidR="00616305" w:rsidRDefault="00461EBB">
            <w:pPr>
              <w:pStyle w:val="TableParagraph"/>
              <w:spacing w:line="240" w:lineRule="auto"/>
              <w:ind w:left="971" w:right="153" w:hanging="795"/>
              <w:rPr>
                <w:sz w:val="24"/>
              </w:rPr>
            </w:pPr>
            <w:r>
              <w:rPr>
                <w:sz w:val="24"/>
              </w:rPr>
              <w:t>DoubleLine Ultra Short Bond Fund, Class I</w:t>
            </w:r>
          </w:p>
        </w:tc>
        <w:tc>
          <w:tcPr>
            <w:tcW w:w="3039" w:type="dxa"/>
          </w:tcPr>
          <w:p w14:paraId="7E9E3346" w14:textId="77777777" w:rsidR="00616305" w:rsidRDefault="00461EBB">
            <w:pPr>
              <w:pStyle w:val="TableParagraph"/>
              <w:spacing w:line="275" w:lineRule="exact"/>
              <w:ind w:left="1056" w:right="1047"/>
              <w:jc w:val="center"/>
              <w:rPr>
                <w:sz w:val="24"/>
              </w:rPr>
            </w:pPr>
            <w:r>
              <w:rPr>
                <w:sz w:val="24"/>
              </w:rPr>
              <w:t>DBULX</w:t>
            </w:r>
          </w:p>
        </w:tc>
        <w:tc>
          <w:tcPr>
            <w:tcW w:w="3082" w:type="dxa"/>
          </w:tcPr>
          <w:p w14:paraId="16220F5A" w14:textId="77777777" w:rsidR="00616305" w:rsidRDefault="00461EBB">
            <w:pPr>
              <w:pStyle w:val="TableParagraph"/>
              <w:spacing w:line="275" w:lineRule="exact"/>
              <w:ind w:left="949" w:right="943"/>
              <w:jc w:val="center"/>
              <w:rPr>
                <w:sz w:val="24"/>
              </w:rPr>
            </w:pPr>
            <w:r>
              <w:rPr>
                <w:sz w:val="24"/>
              </w:rPr>
              <w:t>258620 657</w:t>
            </w:r>
          </w:p>
        </w:tc>
      </w:tr>
      <w:tr w:rsidR="00616305" w14:paraId="1CBE4558" w14:textId="77777777">
        <w:trPr>
          <w:trHeight w:val="671"/>
        </w:trPr>
        <w:tc>
          <w:tcPr>
            <w:tcW w:w="3219" w:type="dxa"/>
          </w:tcPr>
          <w:p w14:paraId="0C2EB02E" w14:textId="77777777" w:rsidR="00616305" w:rsidRDefault="00461EBB">
            <w:pPr>
              <w:pStyle w:val="TableParagraph"/>
              <w:spacing w:line="240" w:lineRule="auto"/>
              <w:ind w:left="923" w:right="153" w:hanging="747"/>
              <w:rPr>
                <w:sz w:val="24"/>
              </w:rPr>
            </w:pPr>
            <w:r>
              <w:rPr>
                <w:sz w:val="24"/>
              </w:rPr>
              <w:t>DoubleLine Ultra Short Bond Fund, Class N</w:t>
            </w:r>
          </w:p>
        </w:tc>
        <w:tc>
          <w:tcPr>
            <w:tcW w:w="3039" w:type="dxa"/>
          </w:tcPr>
          <w:p w14:paraId="7629838A" w14:textId="77777777" w:rsidR="00616305" w:rsidRDefault="00461EBB">
            <w:pPr>
              <w:pStyle w:val="TableParagraph"/>
              <w:spacing w:line="275" w:lineRule="exact"/>
              <w:ind w:left="1056" w:right="1050"/>
              <w:jc w:val="center"/>
              <w:rPr>
                <w:sz w:val="24"/>
              </w:rPr>
            </w:pPr>
            <w:r>
              <w:rPr>
                <w:sz w:val="24"/>
              </w:rPr>
              <w:t>DLUSX</w:t>
            </w:r>
          </w:p>
        </w:tc>
        <w:tc>
          <w:tcPr>
            <w:tcW w:w="3082" w:type="dxa"/>
          </w:tcPr>
          <w:p w14:paraId="31A83321" w14:textId="77777777" w:rsidR="00616305" w:rsidRDefault="00461EBB">
            <w:pPr>
              <w:pStyle w:val="TableParagraph"/>
              <w:spacing w:line="275" w:lineRule="exact"/>
              <w:ind w:left="949" w:right="943"/>
              <w:jc w:val="center"/>
              <w:rPr>
                <w:sz w:val="24"/>
              </w:rPr>
            </w:pPr>
            <w:r>
              <w:rPr>
                <w:sz w:val="24"/>
              </w:rPr>
              <w:t>258620 640</w:t>
            </w:r>
          </w:p>
        </w:tc>
      </w:tr>
      <w:tr w:rsidR="00616305" w14:paraId="2671CB5C" w14:textId="77777777">
        <w:trPr>
          <w:trHeight w:val="673"/>
        </w:trPr>
        <w:tc>
          <w:tcPr>
            <w:tcW w:w="3219" w:type="dxa"/>
          </w:tcPr>
          <w:p w14:paraId="4A76F7F7" w14:textId="77777777" w:rsidR="00616305" w:rsidRDefault="00461EBB">
            <w:pPr>
              <w:pStyle w:val="TableParagraph"/>
              <w:spacing w:before="12" w:line="228" w:lineRule="auto"/>
              <w:ind w:left="206" w:right="154" w:hanging="24"/>
              <w:rPr>
                <w:sz w:val="24"/>
              </w:rPr>
            </w:pPr>
            <w:r>
              <w:rPr>
                <w:sz w:val="24"/>
              </w:rPr>
              <w:lastRenderedPageBreak/>
              <w:t>DoubleLine Shiller Enhanced International CAPE</w:t>
            </w:r>
            <w:r>
              <w:rPr>
                <w:position w:val="9"/>
                <w:sz w:val="16"/>
              </w:rPr>
              <w:t>®</w:t>
            </w:r>
            <w:r>
              <w:rPr>
                <w:sz w:val="24"/>
              </w:rPr>
              <w:t>, Class I</w:t>
            </w:r>
          </w:p>
        </w:tc>
        <w:tc>
          <w:tcPr>
            <w:tcW w:w="3039" w:type="dxa"/>
          </w:tcPr>
          <w:p w14:paraId="5113A502" w14:textId="77777777" w:rsidR="00616305" w:rsidRDefault="00461EBB">
            <w:pPr>
              <w:pStyle w:val="TableParagraph"/>
              <w:spacing w:before="1" w:line="240" w:lineRule="auto"/>
              <w:ind w:left="1056" w:right="1049"/>
              <w:jc w:val="center"/>
              <w:rPr>
                <w:sz w:val="24"/>
              </w:rPr>
            </w:pPr>
            <w:r>
              <w:rPr>
                <w:sz w:val="24"/>
              </w:rPr>
              <w:t>DSEUX</w:t>
            </w:r>
          </w:p>
        </w:tc>
        <w:tc>
          <w:tcPr>
            <w:tcW w:w="3082" w:type="dxa"/>
          </w:tcPr>
          <w:p w14:paraId="79AE153D" w14:textId="77777777" w:rsidR="00616305" w:rsidRDefault="00461EBB">
            <w:pPr>
              <w:pStyle w:val="TableParagraph"/>
              <w:spacing w:before="1" w:line="240" w:lineRule="auto"/>
              <w:ind w:left="949" w:right="943"/>
              <w:jc w:val="center"/>
              <w:rPr>
                <w:sz w:val="24"/>
              </w:rPr>
            </w:pPr>
            <w:r>
              <w:rPr>
                <w:sz w:val="24"/>
              </w:rPr>
              <w:t>258620 632</w:t>
            </w:r>
          </w:p>
        </w:tc>
      </w:tr>
      <w:tr w:rsidR="00616305" w14:paraId="71543816" w14:textId="77777777">
        <w:trPr>
          <w:trHeight w:val="671"/>
        </w:trPr>
        <w:tc>
          <w:tcPr>
            <w:tcW w:w="3219" w:type="dxa"/>
          </w:tcPr>
          <w:p w14:paraId="7693482F" w14:textId="77777777" w:rsidR="00616305" w:rsidRDefault="00461EBB">
            <w:pPr>
              <w:pStyle w:val="TableParagraph"/>
              <w:spacing w:before="10" w:line="228" w:lineRule="auto"/>
              <w:ind w:left="160" w:right="134" w:firstLine="21"/>
              <w:rPr>
                <w:sz w:val="24"/>
              </w:rPr>
            </w:pPr>
            <w:r>
              <w:rPr>
                <w:sz w:val="24"/>
              </w:rPr>
              <w:t>DoubleLine Shiller Enhanced International CAPE</w:t>
            </w:r>
            <w:r>
              <w:rPr>
                <w:position w:val="9"/>
                <w:sz w:val="16"/>
              </w:rPr>
              <w:t>®</w:t>
            </w:r>
            <w:r>
              <w:rPr>
                <w:sz w:val="24"/>
              </w:rPr>
              <w:t>, Class N</w:t>
            </w:r>
          </w:p>
        </w:tc>
        <w:tc>
          <w:tcPr>
            <w:tcW w:w="3039" w:type="dxa"/>
          </w:tcPr>
          <w:p w14:paraId="0B452305" w14:textId="77777777" w:rsidR="00616305" w:rsidRDefault="00461EBB">
            <w:pPr>
              <w:pStyle w:val="TableParagraph"/>
              <w:spacing w:line="275" w:lineRule="exact"/>
              <w:ind w:left="1055" w:right="1051"/>
              <w:jc w:val="center"/>
              <w:rPr>
                <w:sz w:val="24"/>
              </w:rPr>
            </w:pPr>
            <w:r>
              <w:rPr>
                <w:sz w:val="24"/>
              </w:rPr>
              <w:t>DLEUX</w:t>
            </w:r>
          </w:p>
        </w:tc>
        <w:tc>
          <w:tcPr>
            <w:tcW w:w="3082" w:type="dxa"/>
          </w:tcPr>
          <w:p w14:paraId="765D38AD" w14:textId="77777777" w:rsidR="00616305" w:rsidRDefault="00461EBB">
            <w:pPr>
              <w:pStyle w:val="TableParagraph"/>
              <w:spacing w:line="275" w:lineRule="exact"/>
              <w:ind w:left="949" w:right="943"/>
              <w:jc w:val="center"/>
              <w:rPr>
                <w:sz w:val="24"/>
              </w:rPr>
            </w:pPr>
            <w:r>
              <w:rPr>
                <w:sz w:val="24"/>
              </w:rPr>
              <w:t>258620 624</w:t>
            </w:r>
          </w:p>
        </w:tc>
      </w:tr>
      <w:tr w:rsidR="00616305" w14:paraId="683668C5" w14:textId="77777777">
        <w:trPr>
          <w:trHeight w:val="672"/>
        </w:trPr>
        <w:tc>
          <w:tcPr>
            <w:tcW w:w="3219" w:type="dxa"/>
          </w:tcPr>
          <w:p w14:paraId="46F88BEB" w14:textId="77777777" w:rsidR="00616305" w:rsidRDefault="00461EBB">
            <w:pPr>
              <w:pStyle w:val="TableParagraph"/>
              <w:spacing w:line="240" w:lineRule="auto"/>
              <w:ind w:left="379" w:right="50" w:hanging="300"/>
              <w:rPr>
                <w:sz w:val="24"/>
              </w:rPr>
            </w:pPr>
            <w:r>
              <w:rPr>
                <w:sz w:val="24"/>
              </w:rPr>
              <w:t>DoubleLine Colony Real Estate and Income Fund, Class I</w:t>
            </w:r>
          </w:p>
        </w:tc>
        <w:tc>
          <w:tcPr>
            <w:tcW w:w="3039" w:type="dxa"/>
          </w:tcPr>
          <w:p w14:paraId="481C8DD0" w14:textId="77777777" w:rsidR="00616305" w:rsidRDefault="00461EBB">
            <w:pPr>
              <w:pStyle w:val="TableParagraph"/>
              <w:spacing w:line="275" w:lineRule="exact"/>
              <w:ind w:left="1055" w:right="1051"/>
              <w:jc w:val="center"/>
              <w:rPr>
                <w:sz w:val="24"/>
              </w:rPr>
            </w:pPr>
            <w:r>
              <w:rPr>
                <w:sz w:val="24"/>
              </w:rPr>
              <w:t>DBRIX</w:t>
            </w:r>
          </w:p>
        </w:tc>
        <w:tc>
          <w:tcPr>
            <w:tcW w:w="3082" w:type="dxa"/>
          </w:tcPr>
          <w:p w14:paraId="0A793D6E" w14:textId="77777777" w:rsidR="00616305" w:rsidRDefault="00461EBB">
            <w:pPr>
              <w:pStyle w:val="TableParagraph"/>
              <w:spacing w:line="275" w:lineRule="exact"/>
              <w:ind w:left="949" w:right="943"/>
              <w:jc w:val="center"/>
              <w:rPr>
                <w:sz w:val="24"/>
              </w:rPr>
            </w:pPr>
            <w:r>
              <w:rPr>
                <w:sz w:val="24"/>
              </w:rPr>
              <w:t>258620 616</w:t>
            </w:r>
          </w:p>
        </w:tc>
      </w:tr>
      <w:tr w:rsidR="00616305" w14:paraId="7D3EF893" w14:textId="77777777">
        <w:trPr>
          <w:trHeight w:val="671"/>
        </w:trPr>
        <w:tc>
          <w:tcPr>
            <w:tcW w:w="3219" w:type="dxa"/>
          </w:tcPr>
          <w:p w14:paraId="0A5E362B" w14:textId="77777777" w:rsidR="00616305" w:rsidRDefault="00461EBB">
            <w:pPr>
              <w:pStyle w:val="TableParagraph"/>
              <w:spacing w:line="240" w:lineRule="auto"/>
              <w:ind w:left="331" w:right="50" w:hanging="252"/>
              <w:rPr>
                <w:sz w:val="24"/>
              </w:rPr>
            </w:pPr>
            <w:r>
              <w:rPr>
                <w:sz w:val="24"/>
              </w:rPr>
              <w:t>DoubleLine Colony Real Estate and Income Fund, Class N</w:t>
            </w:r>
          </w:p>
        </w:tc>
        <w:tc>
          <w:tcPr>
            <w:tcW w:w="3039" w:type="dxa"/>
          </w:tcPr>
          <w:p w14:paraId="5B50D8F9" w14:textId="77777777" w:rsidR="00616305" w:rsidRDefault="00461EBB">
            <w:pPr>
              <w:pStyle w:val="TableParagraph"/>
              <w:spacing w:line="275" w:lineRule="exact"/>
              <w:ind w:left="1056" w:right="1050"/>
              <w:jc w:val="center"/>
              <w:rPr>
                <w:sz w:val="24"/>
              </w:rPr>
            </w:pPr>
            <w:r>
              <w:rPr>
                <w:sz w:val="24"/>
              </w:rPr>
              <w:t>DLREX</w:t>
            </w:r>
          </w:p>
        </w:tc>
        <w:tc>
          <w:tcPr>
            <w:tcW w:w="3082" w:type="dxa"/>
          </w:tcPr>
          <w:p w14:paraId="47A0C1FE" w14:textId="77777777" w:rsidR="00616305" w:rsidRDefault="00461EBB">
            <w:pPr>
              <w:pStyle w:val="TableParagraph"/>
              <w:spacing w:line="275" w:lineRule="exact"/>
              <w:ind w:left="949" w:right="943"/>
              <w:jc w:val="center"/>
              <w:rPr>
                <w:sz w:val="24"/>
              </w:rPr>
            </w:pPr>
            <w:r>
              <w:rPr>
                <w:sz w:val="24"/>
              </w:rPr>
              <w:t>258620 590</w:t>
            </w:r>
          </w:p>
        </w:tc>
      </w:tr>
      <w:tr w:rsidR="00616305" w14:paraId="60E572A9" w14:textId="77777777">
        <w:trPr>
          <w:trHeight w:val="947"/>
        </w:trPr>
        <w:tc>
          <w:tcPr>
            <w:tcW w:w="3219" w:type="dxa"/>
          </w:tcPr>
          <w:p w14:paraId="73D30E4B" w14:textId="77777777" w:rsidR="00616305" w:rsidRDefault="00461EBB">
            <w:pPr>
              <w:pStyle w:val="TableParagraph"/>
              <w:spacing w:line="240" w:lineRule="auto"/>
              <w:ind w:left="89" w:right="79"/>
              <w:jc w:val="center"/>
              <w:rPr>
                <w:sz w:val="24"/>
              </w:rPr>
            </w:pPr>
            <w:r>
              <w:rPr>
                <w:sz w:val="24"/>
              </w:rPr>
              <w:t>DoubleLine Emerging Markets Local Currency Bond Fund, Class I</w:t>
            </w:r>
          </w:p>
        </w:tc>
        <w:tc>
          <w:tcPr>
            <w:tcW w:w="3039" w:type="dxa"/>
          </w:tcPr>
          <w:p w14:paraId="02D84CDC" w14:textId="77777777" w:rsidR="00616305" w:rsidRDefault="00461EBB">
            <w:pPr>
              <w:pStyle w:val="TableParagraph"/>
              <w:spacing w:line="275" w:lineRule="exact"/>
              <w:ind w:left="1056" w:right="1049"/>
              <w:jc w:val="center"/>
              <w:rPr>
                <w:sz w:val="24"/>
              </w:rPr>
            </w:pPr>
            <w:r>
              <w:rPr>
                <w:sz w:val="24"/>
              </w:rPr>
              <w:t>DBELX</w:t>
            </w:r>
          </w:p>
        </w:tc>
        <w:tc>
          <w:tcPr>
            <w:tcW w:w="3082" w:type="dxa"/>
          </w:tcPr>
          <w:p w14:paraId="3F093FE8" w14:textId="77777777" w:rsidR="00616305" w:rsidRDefault="00461EBB">
            <w:pPr>
              <w:pStyle w:val="TableParagraph"/>
              <w:spacing w:line="275" w:lineRule="exact"/>
              <w:ind w:left="949" w:right="943"/>
              <w:jc w:val="center"/>
              <w:rPr>
                <w:sz w:val="24"/>
              </w:rPr>
            </w:pPr>
            <w:r>
              <w:rPr>
                <w:sz w:val="24"/>
              </w:rPr>
              <w:t>258620 582</w:t>
            </w:r>
          </w:p>
        </w:tc>
      </w:tr>
      <w:tr w:rsidR="00616305" w14:paraId="2348020B" w14:textId="77777777">
        <w:trPr>
          <w:trHeight w:val="947"/>
        </w:trPr>
        <w:tc>
          <w:tcPr>
            <w:tcW w:w="3219" w:type="dxa"/>
          </w:tcPr>
          <w:p w14:paraId="5D6CA3E5" w14:textId="77777777" w:rsidR="00616305" w:rsidRDefault="00461EBB">
            <w:pPr>
              <w:pStyle w:val="TableParagraph"/>
              <w:spacing w:line="240" w:lineRule="auto"/>
              <w:ind w:left="89" w:right="79"/>
              <w:jc w:val="center"/>
              <w:rPr>
                <w:sz w:val="24"/>
              </w:rPr>
            </w:pPr>
            <w:r>
              <w:rPr>
                <w:sz w:val="24"/>
              </w:rPr>
              <w:t>DoubleLine Emerging Markets Local Currency Bond Fund, Class N</w:t>
            </w:r>
          </w:p>
        </w:tc>
        <w:tc>
          <w:tcPr>
            <w:tcW w:w="3039" w:type="dxa"/>
          </w:tcPr>
          <w:p w14:paraId="2BD8749D" w14:textId="77777777" w:rsidR="00616305" w:rsidRDefault="00461EBB">
            <w:pPr>
              <w:pStyle w:val="TableParagraph"/>
              <w:spacing w:line="275" w:lineRule="exact"/>
              <w:ind w:left="1056" w:right="1049"/>
              <w:jc w:val="center"/>
              <w:rPr>
                <w:sz w:val="24"/>
              </w:rPr>
            </w:pPr>
            <w:r>
              <w:rPr>
                <w:sz w:val="24"/>
              </w:rPr>
              <w:t>DLELX</w:t>
            </w:r>
          </w:p>
        </w:tc>
        <w:tc>
          <w:tcPr>
            <w:tcW w:w="3082" w:type="dxa"/>
          </w:tcPr>
          <w:p w14:paraId="29FE7E82" w14:textId="77777777" w:rsidR="00616305" w:rsidRDefault="00461EBB">
            <w:pPr>
              <w:pStyle w:val="TableParagraph"/>
              <w:spacing w:line="275" w:lineRule="exact"/>
              <w:ind w:left="949" w:right="943"/>
              <w:jc w:val="center"/>
              <w:rPr>
                <w:sz w:val="24"/>
              </w:rPr>
            </w:pPr>
            <w:r>
              <w:rPr>
                <w:sz w:val="24"/>
              </w:rPr>
              <w:t>258620 574</w:t>
            </w:r>
          </w:p>
        </w:tc>
      </w:tr>
      <w:tr w:rsidR="00616305" w14:paraId="4DDD417B" w14:textId="77777777">
        <w:trPr>
          <w:trHeight w:val="393"/>
        </w:trPr>
        <w:tc>
          <w:tcPr>
            <w:tcW w:w="3219" w:type="dxa"/>
            <w:tcBorders>
              <w:bottom w:val="single" w:sz="6" w:space="0" w:color="000000"/>
            </w:tcBorders>
          </w:tcPr>
          <w:p w14:paraId="1C83180C" w14:textId="25052ED8" w:rsidR="00616305" w:rsidRDefault="00461EBB">
            <w:pPr>
              <w:pStyle w:val="TableParagraph"/>
              <w:spacing w:line="275" w:lineRule="exact"/>
              <w:ind w:left="268"/>
              <w:rPr>
                <w:sz w:val="24"/>
              </w:rPr>
            </w:pPr>
            <w:r>
              <w:rPr>
                <w:sz w:val="24"/>
              </w:rPr>
              <w:t>DoubleLine Income Fund,</w:t>
            </w:r>
            <w:r w:rsidR="00562E7F">
              <w:rPr>
                <w:sz w:val="24"/>
              </w:rPr>
              <w:t xml:space="preserve"> Class</w:t>
            </w:r>
            <w:r>
              <w:rPr>
                <w:sz w:val="24"/>
              </w:rPr>
              <w:t xml:space="preserve"> I</w:t>
            </w:r>
          </w:p>
        </w:tc>
        <w:tc>
          <w:tcPr>
            <w:tcW w:w="3039" w:type="dxa"/>
            <w:tcBorders>
              <w:bottom w:val="single" w:sz="6" w:space="0" w:color="000000"/>
            </w:tcBorders>
          </w:tcPr>
          <w:p w14:paraId="6C3E32BD" w14:textId="77777777" w:rsidR="00616305" w:rsidRDefault="00461EBB">
            <w:pPr>
              <w:pStyle w:val="TableParagraph"/>
              <w:spacing w:line="275" w:lineRule="exact"/>
              <w:ind w:left="1056" w:right="1050"/>
              <w:jc w:val="center"/>
              <w:rPr>
                <w:sz w:val="24"/>
              </w:rPr>
            </w:pPr>
            <w:r>
              <w:rPr>
                <w:sz w:val="24"/>
              </w:rPr>
              <w:t>DBLIX</w:t>
            </w:r>
          </w:p>
        </w:tc>
        <w:tc>
          <w:tcPr>
            <w:tcW w:w="3082" w:type="dxa"/>
            <w:tcBorders>
              <w:bottom w:val="single" w:sz="6" w:space="0" w:color="000000"/>
            </w:tcBorders>
          </w:tcPr>
          <w:p w14:paraId="292D6736" w14:textId="77777777" w:rsidR="00616305" w:rsidRDefault="00461EBB">
            <w:pPr>
              <w:pStyle w:val="TableParagraph"/>
              <w:spacing w:line="275" w:lineRule="exact"/>
              <w:ind w:left="949" w:right="943"/>
              <w:jc w:val="center"/>
              <w:rPr>
                <w:sz w:val="24"/>
              </w:rPr>
            </w:pPr>
            <w:r>
              <w:rPr>
                <w:sz w:val="24"/>
              </w:rPr>
              <w:t>258620 517</w:t>
            </w:r>
          </w:p>
        </w:tc>
      </w:tr>
      <w:tr w:rsidR="00616305" w14:paraId="31310061" w14:textId="77777777" w:rsidTr="00924BC6">
        <w:trPr>
          <w:trHeight w:val="395"/>
        </w:trPr>
        <w:tc>
          <w:tcPr>
            <w:tcW w:w="3219" w:type="dxa"/>
            <w:tcBorders>
              <w:top w:val="single" w:sz="6" w:space="0" w:color="000000"/>
              <w:bottom w:val="single" w:sz="6" w:space="0" w:color="000000"/>
            </w:tcBorders>
          </w:tcPr>
          <w:p w14:paraId="3C25F4BC" w14:textId="4C011E00" w:rsidR="00616305" w:rsidRDefault="00461EBB">
            <w:pPr>
              <w:pStyle w:val="TableParagraph"/>
              <w:spacing w:line="275" w:lineRule="exact"/>
              <w:ind w:left="223"/>
              <w:rPr>
                <w:sz w:val="24"/>
              </w:rPr>
            </w:pPr>
            <w:r>
              <w:rPr>
                <w:sz w:val="24"/>
              </w:rPr>
              <w:t xml:space="preserve">DoubleLine Income Fund, </w:t>
            </w:r>
            <w:r w:rsidR="00562E7F">
              <w:rPr>
                <w:sz w:val="24"/>
              </w:rPr>
              <w:t xml:space="preserve">Class </w:t>
            </w:r>
            <w:r>
              <w:rPr>
                <w:sz w:val="24"/>
              </w:rPr>
              <w:t>N</w:t>
            </w:r>
          </w:p>
        </w:tc>
        <w:tc>
          <w:tcPr>
            <w:tcW w:w="3039" w:type="dxa"/>
            <w:tcBorders>
              <w:top w:val="single" w:sz="6" w:space="0" w:color="000000"/>
              <w:bottom w:val="single" w:sz="6" w:space="0" w:color="000000"/>
            </w:tcBorders>
          </w:tcPr>
          <w:p w14:paraId="172A9D1A" w14:textId="77777777" w:rsidR="00616305" w:rsidRDefault="00461EBB">
            <w:pPr>
              <w:pStyle w:val="TableParagraph"/>
              <w:spacing w:line="275" w:lineRule="exact"/>
              <w:ind w:left="1056" w:right="1047"/>
              <w:jc w:val="center"/>
              <w:rPr>
                <w:sz w:val="24"/>
              </w:rPr>
            </w:pPr>
            <w:r>
              <w:rPr>
                <w:sz w:val="24"/>
              </w:rPr>
              <w:t>DBLNX</w:t>
            </w:r>
          </w:p>
        </w:tc>
        <w:tc>
          <w:tcPr>
            <w:tcW w:w="3082" w:type="dxa"/>
            <w:tcBorders>
              <w:top w:val="single" w:sz="6" w:space="0" w:color="000000"/>
              <w:bottom w:val="single" w:sz="6" w:space="0" w:color="000000"/>
            </w:tcBorders>
          </w:tcPr>
          <w:p w14:paraId="58D9A8E3" w14:textId="77777777" w:rsidR="00616305" w:rsidRDefault="00461EBB">
            <w:pPr>
              <w:pStyle w:val="TableParagraph"/>
              <w:spacing w:line="275" w:lineRule="exact"/>
              <w:ind w:left="949" w:right="943"/>
              <w:jc w:val="center"/>
              <w:rPr>
                <w:sz w:val="24"/>
              </w:rPr>
            </w:pPr>
            <w:r>
              <w:rPr>
                <w:sz w:val="24"/>
              </w:rPr>
              <w:t>258620 491</w:t>
            </w:r>
          </w:p>
        </w:tc>
      </w:tr>
      <w:tr w:rsidR="00562E7F" w14:paraId="0C7D078A" w14:textId="77777777" w:rsidTr="00924BC6">
        <w:trPr>
          <w:trHeight w:val="395"/>
        </w:trPr>
        <w:tc>
          <w:tcPr>
            <w:tcW w:w="3219" w:type="dxa"/>
            <w:tcBorders>
              <w:top w:val="single" w:sz="6" w:space="0" w:color="000000"/>
              <w:bottom w:val="single" w:sz="6" w:space="0" w:color="000000"/>
            </w:tcBorders>
          </w:tcPr>
          <w:p w14:paraId="61DA20BA" w14:textId="7ADDAC21" w:rsidR="00562E7F" w:rsidRDefault="00562E7F">
            <w:pPr>
              <w:pStyle w:val="TableParagraph"/>
              <w:spacing w:line="275" w:lineRule="exact"/>
              <w:ind w:left="223"/>
              <w:rPr>
                <w:sz w:val="24"/>
              </w:rPr>
            </w:pPr>
            <w:r>
              <w:rPr>
                <w:sz w:val="24"/>
              </w:rPr>
              <w:t>DoubleLine Multi-Asset Trend Fund, Class I</w:t>
            </w:r>
          </w:p>
        </w:tc>
        <w:tc>
          <w:tcPr>
            <w:tcW w:w="3039" w:type="dxa"/>
            <w:tcBorders>
              <w:top w:val="single" w:sz="6" w:space="0" w:color="000000"/>
              <w:bottom w:val="single" w:sz="6" w:space="0" w:color="000000"/>
            </w:tcBorders>
          </w:tcPr>
          <w:p w14:paraId="08267A28" w14:textId="700F4758" w:rsidR="00562E7F" w:rsidRDefault="00562E7F">
            <w:pPr>
              <w:pStyle w:val="TableParagraph"/>
              <w:spacing w:line="275" w:lineRule="exact"/>
              <w:ind w:left="1056" w:right="1047"/>
              <w:jc w:val="center"/>
              <w:rPr>
                <w:sz w:val="24"/>
              </w:rPr>
            </w:pPr>
            <w:r>
              <w:rPr>
                <w:sz w:val="24"/>
              </w:rPr>
              <w:t>DBMOX</w:t>
            </w:r>
          </w:p>
        </w:tc>
        <w:tc>
          <w:tcPr>
            <w:tcW w:w="3082" w:type="dxa"/>
            <w:tcBorders>
              <w:top w:val="single" w:sz="6" w:space="0" w:color="000000"/>
              <w:bottom w:val="single" w:sz="6" w:space="0" w:color="000000"/>
            </w:tcBorders>
          </w:tcPr>
          <w:p w14:paraId="47290A4D" w14:textId="2F1DC1CD" w:rsidR="00562E7F" w:rsidRDefault="002041B1">
            <w:pPr>
              <w:pStyle w:val="TableParagraph"/>
              <w:spacing w:line="275" w:lineRule="exact"/>
              <w:ind w:left="949" w:right="943"/>
              <w:jc w:val="center"/>
              <w:rPr>
                <w:sz w:val="24"/>
              </w:rPr>
            </w:pPr>
            <w:r w:rsidRPr="002041B1">
              <w:rPr>
                <w:sz w:val="24"/>
              </w:rPr>
              <w:t>258620483</w:t>
            </w:r>
          </w:p>
        </w:tc>
      </w:tr>
      <w:tr w:rsidR="00562E7F" w14:paraId="2F920364" w14:textId="77777777">
        <w:trPr>
          <w:trHeight w:val="395"/>
        </w:trPr>
        <w:tc>
          <w:tcPr>
            <w:tcW w:w="3219" w:type="dxa"/>
            <w:tcBorders>
              <w:top w:val="single" w:sz="6" w:space="0" w:color="000000"/>
            </w:tcBorders>
          </w:tcPr>
          <w:p w14:paraId="37F42AC9" w14:textId="2BE64F66" w:rsidR="00562E7F" w:rsidRDefault="00562E7F" w:rsidP="00562E7F">
            <w:pPr>
              <w:pStyle w:val="TableParagraph"/>
              <w:spacing w:line="275" w:lineRule="exact"/>
              <w:ind w:left="223"/>
              <w:rPr>
                <w:sz w:val="24"/>
              </w:rPr>
            </w:pPr>
            <w:r>
              <w:rPr>
                <w:sz w:val="24"/>
              </w:rPr>
              <w:t>DoubleLine Multi-Asset Trend Fund, Class N</w:t>
            </w:r>
          </w:p>
        </w:tc>
        <w:tc>
          <w:tcPr>
            <w:tcW w:w="3039" w:type="dxa"/>
            <w:tcBorders>
              <w:top w:val="single" w:sz="6" w:space="0" w:color="000000"/>
            </w:tcBorders>
          </w:tcPr>
          <w:p w14:paraId="2D1A3B03" w14:textId="00DC71D0" w:rsidR="00562E7F" w:rsidRDefault="00562E7F" w:rsidP="00562E7F">
            <w:pPr>
              <w:pStyle w:val="TableParagraph"/>
              <w:spacing w:line="275" w:lineRule="exact"/>
              <w:ind w:left="1056" w:right="1047"/>
              <w:jc w:val="center"/>
              <w:rPr>
                <w:sz w:val="24"/>
              </w:rPr>
            </w:pPr>
            <w:r>
              <w:rPr>
                <w:sz w:val="24"/>
              </w:rPr>
              <w:t>DLMOX</w:t>
            </w:r>
          </w:p>
        </w:tc>
        <w:tc>
          <w:tcPr>
            <w:tcW w:w="3082" w:type="dxa"/>
            <w:tcBorders>
              <w:top w:val="single" w:sz="6" w:space="0" w:color="000000"/>
            </w:tcBorders>
          </w:tcPr>
          <w:p w14:paraId="62569B55" w14:textId="5E25B8FC" w:rsidR="00562E7F" w:rsidRDefault="002041B1" w:rsidP="00562E7F">
            <w:pPr>
              <w:pStyle w:val="TableParagraph"/>
              <w:spacing w:line="275" w:lineRule="exact"/>
              <w:ind w:left="949" w:right="943"/>
              <w:jc w:val="center"/>
              <w:rPr>
                <w:sz w:val="24"/>
              </w:rPr>
            </w:pPr>
            <w:r w:rsidRPr="002041B1">
              <w:rPr>
                <w:sz w:val="24"/>
              </w:rPr>
              <w:t>258620475</w:t>
            </w:r>
          </w:p>
        </w:tc>
      </w:tr>
    </w:tbl>
    <w:p w14:paraId="3FE86301" w14:textId="77777777" w:rsidR="00616305" w:rsidRDefault="00616305">
      <w:pPr>
        <w:pStyle w:val="BodyText"/>
        <w:rPr>
          <w:sz w:val="20"/>
        </w:rPr>
      </w:pPr>
    </w:p>
    <w:p w14:paraId="512AE811" w14:textId="77777777" w:rsidR="00616305" w:rsidRDefault="00616305">
      <w:pPr>
        <w:pStyle w:val="BodyText"/>
        <w:spacing w:before="11"/>
        <w:rPr>
          <w:sz w:val="16"/>
        </w:rPr>
      </w:pPr>
    </w:p>
    <w:p w14:paraId="7615B1AF" w14:textId="5F03D7F8" w:rsidR="00616305" w:rsidRDefault="00461EBB">
      <w:pPr>
        <w:pStyle w:val="BodyText"/>
        <w:spacing w:before="90"/>
        <w:ind w:left="160"/>
      </w:pPr>
      <w:r>
        <w:t>Last Updated: August 202</w:t>
      </w:r>
      <w:r w:rsidR="00562E7F">
        <w:t>1</w:t>
      </w:r>
    </w:p>
    <w:sectPr w:rsidR="00616305">
      <w:pgSz w:w="12240" w:h="15840"/>
      <w:pgMar w:top="1440" w:right="1320" w:bottom="1180" w:left="128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47E94" w14:textId="77777777" w:rsidR="00594762" w:rsidRDefault="00594762">
      <w:r>
        <w:separator/>
      </w:r>
    </w:p>
  </w:endnote>
  <w:endnote w:type="continuationSeparator" w:id="0">
    <w:p w14:paraId="4B95FA1E" w14:textId="77777777" w:rsidR="00594762" w:rsidRDefault="0059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9CC5" w14:textId="7B26F570" w:rsidR="00594762" w:rsidRDefault="00EF0242">
    <w:pPr>
      <w:pStyle w:val="Footer"/>
    </w:pPr>
    <w:r>
      <w:fldChar w:fldCharType="begin"/>
    </w:r>
    <w:r>
      <w:instrText xml:space="preserve"> DOCPROPERTY DOCXDOCID DMS=InterwovenIManage Format=&lt;&lt;NUM&gt;&gt;_&lt;&lt;VER&gt;&gt; PRESERVELOCATION \* MERGEFORMAT </w:instrText>
    </w:r>
    <w:r>
      <w:fldChar w:fldCharType="separate"/>
    </w:r>
    <w:r w:rsidR="00182A74">
      <w:t>104797575_2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1F23" w14:textId="5C8441EE" w:rsidR="00594762" w:rsidRDefault="00EF0242">
    <w:pPr>
      <w:pStyle w:val="Footer"/>
    </w:pPr>
    <w:r>
      <w:fldChar w:fldCharType="begin"/>
    </w:r>
    <w:r>
      <w:instrText xml:space="preserve"> DOCPROPERTY DOCXDOCID DMS=InterwovenIManage Format=&lt;&lt;NUM&gt;&gt;_&lt;</w:instrText>
    </w:r>
    <w:r>
      <w:instrText xml:space="preserve">&lt;VER&gt;&gt; PRESERVELOCATION \* MERGEFORMAT </w:instrText>
    </w:r>
    <w:r>
      <w:fldChar w:fldCharType="separate"/>
    </w:r>
    <w:r w:rsidR="00182A74">
      <w:t>104797575_2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D3F0" w14:textId="201C0B80" w:rsidR="00594762" w:rsidRDefault="00EF0242">
    <w:pPr>
      <w:pStyle w:val="Footer"/>
    </w:pPr>
    <w:r>
      <w:fldChar w:fldCharType="begin"/>
    </w:r>
    <w:r>
      <w:instrText xml:space="preserve"> DOCPROPERTY DOCXDOCID DMS=InterwovenIManage Format=&lt;&lt;NUM&gt;&gt;_&lt;&lt;VER&gt;&gt; PRESERVELOCATION \* MERGEFORMAT </w:instrText>
    </w:r>
    <w:r>
      <w:fldChar w:fldCharType="separate"/>
    </w:r>
    <w:r w:rsidR="00182A74">
      <w:t>104797575_2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1A1D" w14:textId="01FF9E8E" w:rsidR="00594762" w:rsidRDefault="00182A74">
    <w:pPr>
      <w:pStyle w:val="BodyText"/>
      <w:spacing w:line="14" w:lineRule="auto"/>
      <w:rPr>
        <w:sz w:val="19"/>
      </w:rPr>
    </w:pPr>
    <w:r>
      <w:rPr>
        <w:sz w:val="19"/>
      </w:rPr>
      <w:fldChar w:fldCharType="begin"/>
    </w:r>
    <w:r>
      <w:rPr>
        <w:sz w:val="19"/>
      </w:rPr>
      <w:instrText xml:space="preserve"> DOCPROPERTY DOCXDOCID DMS=InterwovenIManage Format=&lt;&lt;NUM&gt;&gt;_&lt;&lt;VER&gt;&gt; PRESERVELOCATION \* MERGEFORMAT </w:instrText>
    </w:r>
    <w:r>
      <w:rPr>
        <w:sz w:val="19"/>
      </w:rPr>
      <w:fldChar w:fldCharType="separate"/>
    </w:r>
    <w:r>
      <w:rPr>
        <w:sz w:val="19"/>
      </w:rPr>
      <w:t>104797575_2</w:t>
    </w:r>
    <w:r>
      <w:rPr>
        <w:sz w:val="19"/>
      </w:rPr>
      <w:fldChar w:fldCharType="end"/>
    </w:r>
    <w:r w:rsidR="00EC7E62">
      <w:rPr>
        <w:noProof/>
      </w:rPr>
      <mc:AlternateContent>
        <mc:Choice Requires="wps">
          <w:drawing>
            <wp:anchor distT="0" distB="0" distL="114300" distR="114300" simplePos="0" relativeHeight="251657728" behindDoc="1" locked="0" layoutInCell="1" allowOverlap="1" wp14:anchorId="787D56FF" wp14:editId="7D5005E8">
              <wp:simplePos x="0" y="0"/>
              <wp:positionH relativeFrom="page">
                <wp:posOffset>3745865</wp:posOffset>
              </wp:positionH>
              <wp:positionV relativeFrom="page">
                <wp:posOffset>9244965</wp:posOffset>
              </wp:positionV>
              <wp:extent cx="279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F7B48" w14:textId="08958C37" w:rsidR="00594762" w:rsidRDefault="00594762">
                          <w:pPr>
                            <w:pStyle w:val="BodyText"/>
                            <w:spacing w:before="10"/>
                            <w:ind w:left="20"/>
                          </w:pPr>
                          <w:r>
                            <w:t>-</w:t>
                          </w:r>
                          <w:r>
                            <w:fldChar w:fldCharType="begin"/>
                          </w:r>
                          <w:r>
                            <w:instrText xml:space="preserve"> PAGE </w:instrText>
                          </w:r>
                          <w:r>
                            <w:fldChar w:fldCharType="separate"/>
                          </w:r>
                          <w:r w:rsidR="00182A74">
                            <w:rPr>
                              <w:noProof/>
                            </w:rPr>
                            <w:t>12</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56FF" id="_x0000_t202" coordsize="21600,21600" o:spt="202" path="m,l,21600r21600,l21600,xe">
              <v:stroke joinstyle="miter"/>
              <v:path gradientshapeok="t" o:connecttype="rect"/>
            </v:shapetype>
            <v:shape id="Text Box 1" o:spid="_x0000_s1026" type="#_x0000_t202" style="position:absolute;margin-left:294.95pt;margin-top:727.95pt;width:2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" filled="f" stroked="f">
              <v:textbox inset="0,0,0,0">
                <w:txbxContent>
                  <w:p w14:paraId="7B7F7B48" w14:textId="08958C37" w:rsidR="00594762" w:rsidRDefault="00594762">
                    <w:pPr>
                      <w:pStyle w:val="BodyText"/>
                      <w:spacing w:before="10"/>
                      <w:ind w:left="20"/>
                    </w:pPr>
                    <w:r>
                      <w:t>-</w:t>
                    </w:r>
                    <w:r>
                      <w:fldChar w:fldCharType="begin"/>
                    </w:r>
                    <w:r>
                      <w:instrText xml:space="preserve"> PAGE </w:instrText>
                    </w:r>
                    <w:r>
                      <w:fldChar w:fldCharType="separate"/>
                    </w:r>
                    <w:r w:rsidR="00182A74">
                      <w:rPr>
                        <w:noProof/>
                      </w:rPr>
                      <w:t>12</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A993A" w14:textId="77777777" w:rsidR="00594762" w:rsidRDefault="00594762">
      <w:r>
        <w:separator/>
      </w:r>
    </w:p>
  </w:footnote>
  <w:footnote w:type="continuationSeparator" w:id="0">
    <w:p w14:paraId="43E43F76" w14:textId="77777777" w:rsidR="00594762" w:rsidRDefault="00594762">
      <w:r>
        <w:continuationSeparator/>
      </w:r>
    </w:p>
  </w:footnote>
  <w:footnote w:id="1">
    <w:p w14:paraId="6EDF4BD7" w14:textId="77777777" w:rsidR="00F64D17" w:rsidRDefault="00F64D17" w:rsidP="00F64D17">
      <w:pPr>
        <w:pStyle w:val="FootnoteText"/>
        <w:rPr>
          <w:szCs w:val="24"/>
        </w:rPr>
      </w:pPr>
      <w:r>
        <w:rPr>
          <w:rStyle w:val="FootnoteReference"/>
          <w:szCs w:val="24"/>
        </w:rPr>
        <w:footnoteRef/>
      </w:r>
      <w:r>
        <w:rPr>
          <w:rFonts w:eastAsia="Calibri"/>
          <w:szCs w:val="24"/>
        </w:rPr>
        <w:t xml:space="preserve"> For Class A and Class C shares only.</w:t>
      </w:r>
    </w:p>
  </w:footnote>
  <w:footnote w:id="2">
    <w:p w14:paraId="1C45027B" w14:textId="77777777" w:rsidR="00E61A49" w:rsidRDefault="00E61A49" w:rsidP="00E61A49">
      <w:pPr>
        <w:pStyle w:val="FootnoteText"/>
        <w:rPr>
          <w:szCs w:val="24"/>
        </w:rPr>
      </w:pPr>
      <w:bookmarkStart w:id="0" w:name="_cp_text_4_143"/>
      <w:r>
        <w:rPr>
          <w:rStyle w:val="FootnoteReference"/>
          <w:szCs w:val="24"/>
        </w:rPr>
        <w:footnoteRef/>
      </w:r>
      <w:r>
        <w:rPr>
          <w:rFonts w:eastAsia="Calibri"/>
          <w:szCs w:val="24"/>
        </w:rPr>
        <w:t xml:space="preserve"> For Class A, Class C and Class N shares only.</w:t>
      </w:r>
      <w:bookmarkEnd w:id="0"/>
    </w:p>
  </w:footnote>
  <w:footnote w:id="3">
    <w:p w14:paraId="7697419A" w14:textId="77777777" w:rsidR="00E61A49" w:rsidRDefault="00E61A49" w:rsidP="00E61A49">
      <w:pPr>
        <w:pStyle w:val="FootnoteText"/>
        <w:rPr>
          <w:szCs w:val="24"/>
        </w:rPr>
      </w:pPr>
      <w:bookmarkStart w:id="1" w:name="_cp_text_1_146"/>
      <w:r>
        <w:rPr>
          <w:rStyle w:val="FootnoteReference"/>
          <w:szCs w:val="24"/>
        </w:rPr>
        <w:footnoteRef/>
      </w:r>
      <w:r>
        <w:rPr>
          <w:rFonts w:eastAsia="Calibri"/>
          <w:szCs w:val="24"/>
        </w:rPr>
        <w:t xml:space="preserve"> </w:t>
      </w:r>
      <w:bookmarkStart w:id="2" w:name="_cp_text_4_147"/>
      <w:bookmarkEnd w:id="1"/>
      <w:r>
        <w:rPr>
          <w:rFonts w:eastAsia="Calibri"/>
          <w:szCs w:val="24"/>
        </w:rPr>
        <w:t xml:space="preserve">For Class A, Class C and Class N shares only. </w:t>
      </w:r>
      <w:bookmarkEnd w:id="2"/>
    </w:p>
  </w:footnote>
  <w:footnote w:id="4">
    <w:p w14:paraId="3ADB18AF" w14:textId="77777777" w:rsidR="00E61A49" w:rsidRDefault="00E61A49" w:rsidP="00E61A49">
      <w:pPr>
        <w:pStyle w:val="FootnoteText"/>
        <w:rPr>
          <w:szCs w:val="24"/>
        </w:rPr>
      </w:pPr>
      <w:bookmarkStart w:id="3" w:name="_cp_text_1_150"/>
      <w:r>
        <w:rPr>
          <w:rStyle w:val="FootnoteReference"/>
          <w:szCs w:val="24"/>
        </w:rPr>
        <w:footnoteRef/>
      </w:r>
      <w:r>
        <w:rPr>
          <w:rFonts w:eastAsia="Calibri"/>
          <w:szCs w:val="24"/>
        </w:rPr>
        <w:t xml:space="preserve"> </w:t>
      </w:r>
      <w:bookmarkStart w:id="4" w:name="_cp_text_4_151"/>
      <w:bookmarkEnd w:id="3"/>
      <w:r>
        <w:rPr>
          <w:rFonts w:eastAsia="Calibri"/>
          <w:szCs w:val="24"/>
        </w:rPr>
        <w:t xml:space="preserve">For Class A, Class C and Class N shares only.  </w:t>
      </w:r>
      <w:bookmarkEnd w:id="4"/>
    </w:p>
  </w:footnote>
  <w:footnote w:id="5">
    <w:p w14:paraId="21E04F2F" w14:textId="20C8ED2C" w:rsidR="00594762" w:rsidRDefault="00594762">
      <w:pPr>
        <w:pStyle w:val="FootnoteText"/>
      </w:pPr>
      <w:r>
        <w:rPr>
          <w:rStyle w:val="FootnoteReference"/>
        </w:rPr>
        <w:footnoteRef/>
      </w:r>
      <w:r>
        <w:t xml:space="preserve"> Committee on Uniform Security Identification Procedures (CUSIP). CUSIP is a registered trademark of the American Bankers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0809" w14:textId="77777777" w:rsidR="00182A74" w:rsidRDefault="00182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C470" w14:textId="77777777" w:rsidR="00182A74" w:rsidRDefault="00182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23C0" w14:textId="77777777" w:rsidR="00182A74" w:rsidRDefault="00182A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gacyDocID" w:val="False"/>
  </w:docVars>
  <w:rsids>
    <w:rsidRoot w:val="00616305"/>
    <w:rsid w:val="00057EF0"/>
    <w:rsid w:val="0006229A"/>
    <w:rsid w:val="000F7E8A"/>
    <w:rsid w:val="00182A74"/>
    <w:rsid w:val="00190B2A"/>
    <w:rsid w:val="002041B1"/>
    <w:rsid w:val="002C50DF"/>
    <w:rsid w:val="00392220"/>
    <w:rsid w:val="00394F10"/>
    <w:rsid w:val="003B60F4"/>
    <w:rsid w:val="003E0613"/>
    <w:rsid w:val="00461EBB"/>
    <w:rsid w:val="00562E7F"/>
    <w:rsid w:val="0059465C"/>
    <w:rsid w:val="00594762"/>
    <w:rsid w:val="006034A2"/>
    <w:rsid w:val="00616305"/>
    <w:rsid w:val="006821BD"/>
    <w:rsid w:val="006900DD"/>
    <w:rsid w:val="00881EFA"/>
    <w:rsid w:val="008F75F1"/>
    <w:rsid w:val="00924BC6"/>
    <w:rsid w:val="00924DAB"/>
    <w:rsid w:val="009505DB"/>
    <w:rsid w:val="0098202E"/>
    <w:rsid w:val="009E70F1"/>
    <w:rsid w:val="00AC391E"/>
    <w:rsid w:val="00AF3F63"/>
    <w:rsid w:val="00BA0E8C"/>
    <w:rsid w:val="00BB0866"/>
    <w:rsid w:val="00C7221A"/>
    <w:rsid w:val="00CE791F"/>
    <w:rsid w:val="00D108FA"/>
    <w:rsid w:val="00DF4660"/>
    <w:rsid w:val="00E61A49"/>
    <w:rsid w:val="00E80088"/>
    <w:rsid w:val="00EB2704"/>
    <w:rsid w:val="00EC7E62"/>
    <w:rsid w:val="00EF0242"/>
    <w:rsid w:val="00F64D17"/>
    <w:rsid w:val="00F67362"/>
    <w:rsid w:val="00FC4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B2367E"/>
  <w15:docId w15:val="{0E4B5442-6938-4D98-BA81-F9EEBFEA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ind w:left="43"/>
    </w:pPr>
  </w:style>
  <w:style w:type="paragraph" w:styleId="Header">
    <w:name w:val="header"/>
    <w:basedOn w:val="Normal"/>
    <w:link w:val="HeaderChar"/>
    <w:uiPriority w:val="99"/>
    <w:unhideWhenUsed/>
    <w:rsid w:val="00392220"/>
    <w:pPr>
      <w:tabs>
        <w:tab w:val="center" w:pos="4680"/>
        <w:tab w:val="right" w:pos="9360"/>
      </w:tabs>
    </w:pPr>
  </w:style>
  <w:style w:type="character" w:customStyle="1" w:styleId="HeaderChar">
    <w:name w:val="Header Char"/>
    <w:basedOn w:val="DefaultParagraphFont"/>
    <w:link w:val="Header"/>
    <w:uiPriority w:val="99"/>
    <w:rsid w:val="00392220"/>
    <w:rPr>
      <w:rFonts w:ascii="Times New Roman" w:eastAsia="Times New Roman" w:hAnsi="Times New Roman" w:cs="Times New Roman"/>
      <w:lang w:bidi="en-US"/>
    </w:rPr>
  </w:style>
  <w:style w:type="paragraph" w:styleId="Footer">
    <w:name w:val="footer"/>
    <w:basedOn w:val="Normal"/>
    <w:link w:val="FooterChar"/>
    <w:uiPriority w:val="99"/>
    <w:unhideWhenUsed/>
    <w:rsid w:val="00392220"/>
    <w:pPr>
      <w:tabs>
        <w:tab w:val="center" w:pos="4680"/>
        <w:tab w:val="right" w:pos="9360"/>
      </w:tabs>
    </w:pPr>
  </w:style>
  <w:style w:type="character" w:customStyle="1" w:styleId="FooterChar">
    <w:name w:val="Footer Char"/>
    <w:basedOn w:val="DefaultParagraphFont"/>
    <w:link w:val="Footer"/>
    <w:uiPriority w:val="99"/>
    <w:rsid w:val="00392220"/>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61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EBB"/>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06229A"/>
    <w:rPr>
      <w:sz w:val="16"/>
      <w:szCs w:val="16"/>
    </w:rPr>
  </w:style>
  <w:style w:type="paragraph" w:styleId="CommentText">
    <w:name w:val="annotation text"/>
    <w:basedOn w:val="Normal"/>
    <w:link w:val="CommentTextChar"/>
    <w:uiPriority w:val="99"/>
    <w:semiHidden/>
    <w:unhideWhenUsed/>
    <w:rsid w:val="0006229A"/>
    <w:rPr>
      <w:sz w:val="20"/>
      <w:szCs w:val="20"/>
    </w:rPr>
  </w:style>
  <w:style w:type="character" w:customStyle="1" w:styleId="CommentTextChar">
    <w:name w:val="Comment Text Char"/>
    <w:basedOn w:val="DefaultParagraphFont"/>
    <w:link w:val="CommentText"/>
    <w:uiPriority w:val="99"/>
    <w:semiHidden/>
    <w:rsid w:val="0006229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6229A"/>
    <w:rPr>
      <w:b/>
      <w:bCs/>
    </w:rPr>
  </w:style>
  <w:style w:type="character" w:customStyle="1" w:styleId="CommentSubjectChar">
    <w:name w:val="Comment Subject Char"/>
    <w:basedOn w:val="CommentTextChar"/>
    <w:link w:val="CommentSubject"/>
    <w:uiPriority w:val="99"/>
    <w:semiHidden/>
    <w:rsid w:val="0006229A"/>
    <w:rPr>
      <w:rFonts w:ascii="Times New Roman" w:eastAsia="Times New Roman" w:hAnsi="Times New Roman" w:cs="Times New Roman"/>
      <w:b/>
      <w:bCs/>
      <w:sz w:val="20"/>
      <w:szCs w:val="20"/>
      <w:lang w:bidi="en-US"/>
    </w:rPr>
  </w:style>
  <w:style w:type="paragraph" w:styleId="FootnoteText">
    <w:name w:val="footnote text"/>
    <w:basedOn w:val="Normal"/>
    <w:link w:val="FootnoteTextChar"/>
    <w:uiPriority w:val="28"/>
    <w:unhideWhenUsed/>
    <w:rsid w:val="00FC4DD2"/>
    <w:rPr>
      <w:sz w:val="20"/>
      <w:szCs w:val="20"/>
    </w:rPr>
  </w:style>
  <w:style w:type="character" w:customStyle="1" w:styleId="FootnoteTextChar">
    <w:name w:val="Footnote Text Char"/>
    <w:basedOn w:val="DefaultParagraphFont"/>
    <w:link w:val="FootnoteText"/>
    <w:uiPriority w:val="28"/>
    <w:rsid w:val="00FC4DD2"/>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28"/>
    <w:unhideWhenUsed/>
    <w:rsid w:val="00FC4DD2"/>
    <w:rPr>
      <w:vertAlign w:val="superscript"/>
    </w:rPr>
  </w:style>
  <w:style w:type="character" w:styleId="Hyperlink">
    <w:name w:val="Hyperlink"/>
    <w:basedOn w:val="DefaultParagraphFont"/>
    <w:uiPriority w:val="99"/>
    <w:unhideWhenUsed/>
    <w:rsid w:val="009E70F1"/>
    <w:rPr>
      <w:color w:val="0000FF" w:themeColor="hyperlink"/>
      <w:u w:val="single"/>
    </w:rPr>
  </w:style>
  <w:style w:type="character" w:styleId="UnresolvedMention">
    <w:name w:val="Unresolved Mention"/>
    <w:basedOn w:val="DefaultParagraphFont"/>
    <w:uiPriority w:val="99"/>
    <w:semiHidden/>
    <w:unhideWhenUsed/>
    <w:rsid w:val="009E70F1"/>
    <w:rPr>
      <w:color w:val="605E5C"/>
      <w:shd w:val="clear" w:color="auto" w:fill="E1DFDD"/>
    </w:rPr>
  </w:style>
  <w:style w:type="table" w:styleId="TableGrid">
    <w:name w:val="Table Grid"/>
    <w:basedOn w:val="TableNormal"/>
    <w:uiPriority w:val="39"/>
    <w:rsid w:val="00DF466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955324">
      <w:bodyDiv w:val="1"/>
      <w:marLeft w:val="0"/>
      <w:marRight w:val="0"/>
      <w:marTop w:val="0"/>
      <w:marBottom w:val="0"/>
      <w:divBdr>
        <w:top w:val="none" w:sz="0" w:space="0" w:color="auto"/>
        <w:left w:val="none" w:sz="0" w:space="0" w:color="auto"/>
        <w:bottom w:val="none" w:sz="0" w:space="0" w:color="auto"/>
        <w:right w:val="none" w:sz="0" w:space="0" w:color="auto"/>
      </w:divBdr>
      <w:divsChild>
        <w:div w:id="11467044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ublelinefunds.com/prospectus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ublelinefunds.co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835A4-F131-4D3F-AC89-76D1FBC8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3558</Words>
  <Characters>20281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Ropes &amp; Gray LLP</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Arellano</dc:creator>
  <cp:lastModifiedBy>Carolyn Liu-Hartman</cp:lastModifiedBy>
  <cp:revision>2</cp:revision>
  <dcterms:created xsi:type="dcterms:W3CDTF">2021-08-27T21:28:00Z</dcterms:created>
  <dcterms:modified xsi:type="dcterms:W3CDTF">2021-08-27T21:28:00Z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for Microsoft 365</vt:lpwstr>
  </property>
  <property fmtid="{D5CDD505-2E9C-101B-9397-08002B2CF9AE}" pid="4" name="LastSaved">
    <vt:filetime>2021-08-13T00:00:00Z</vt:filetime>
  </property>
  <property fmtid="{D5CDD505-2E9C-101B-9397-08002B2CF9AE}" pid="5" name="DOCXDOCID">
    <vt:lpwstr>104797575_2</vt:lpwstr>
  </property>
  <property fmtid="{D5CDD505-2E9C-101B-9397-08002B2CF9AE}" pid="6" name="DocXLocation">
    <vt:lpwstr>Every Page</vt:lpwstr>
  </property>
  <property fmtid="{D5CDD505-2E9C-101B-9397-08002B2CF9AE}" pid="7" name="DocXFormat">
    <vt:lpwstr>DefaultFormat</vt:lpwstr>
  </property>
</Properties>
</file>